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497"/>
        <w:gridCol w:w="4523"/>
      </w:tblGrid>
      <w:tr w:rsidR="00165F72" w:rsidRPr="005C742C" w14:paraId="73E221D8" w14:textId="77777777" w:rsidTr="002949ED">
        <w:tc>
          <w:tcPr>
            <w:tcW w:w="4497" w:type="dxa"/>
            <w:tcBorders>
              <w:right w:val="single" w:sz="4" w:space="0" w:color="auto"/>
            </w:tcBorders>
          </w:tcPr>
          <w:p w14:paraId="687C2441" w14:textId="77777777" w:rsidR="000C40D7" w:rsidRDefault="00165F72" w:rsidP="00C02836">
            <w:pPr>
              <w:rPr>
                <w:rFonts w:cs="Arial"/>
              </w:rPr>
            </w:pPr>
            <w:r w:rsidRPr="005C742C">
              <w:rPr>
                <w:rFonts w:cs="Arial"/>
                <w:b/>
              </w:rPr>
              <w:t xml:space="preserve">HISHAM HAMED, </w:t>
            </w:r>
            <w:r w:rsidRPr="00033207">
              <w:rPr>
                <w:rFonts w:cs="Arial"/>
                <w:bCs/>
              </w:rPr>
              <w:t>individually</w:t>
            </w:r>
            <w:r w:rsidRPr="005C742C">
              <w:rPr>
                <w:rFonts w:cs="Arial"/>
                <w:b/>
              </w:rPr>
              <w:t>,</w:t>
            </w:r>
            <w:r w:rsidRPr="005C742C">
              <w:rPr>
                <w:rFonts w:cs="Arial"/>
              </w:rPr>
              <w:t xml:space="preserve"> </w:t>
            </w:r>
          </w:p>
          <w:p w14:paraId="5933C507" w14:textId="321A955B" w:rsidR="000C40D7" w:rsidRDefault="00165F72" w:rsidP="00C02836">
            <w:pPr>
              <w:rPr>
                <w:rFonts w:cs="Arial"/>
                <w:b/>
              </w:rPr>
            </w:pPr>
            <w:r w:rsidRPr="005C742C">
              <w:rPr>
                <w:rFonts w:cs="Arial"/>
              </w:rPr>
              <w:t>and</w:t>
            </w:r>
            <w:r w:rsidRPr="005C742C">
              <w:rPr>
                <w:rFonts w:cs="Arial"/>
                <w:b/>
              </w:rPr>
              <w:t xml:space="preserve"> </w:t>
            </w:r>
            <w:r w:rsidRPr="005C742C">
              <w:rPr>
                <w:rFonts w:cs="Arial"/>
              </w:rPr>
              <w:t>derivatively on behalf of</w:t>
            </w:r>
            <w:r w:rsidRPr="005C742C">
              <w:rPr>
                <w:rFonts w:cs="Arial"/>
                <w:b/>
              </w:rPr>
              <w:t xml:space="preserve"> </w:t>
            </w:r>
          </w:p>
          <w:p w14:paraId="183887BC" w14:textId="7D87AE39" w:rsidR="00165F72" w:rsidRPr="005C742C" w:rsidRDefault="00165F72" w:rsidP="00C02836">
            <w:pPr>
              <w:rPr>
                <w:rFonts w:cs="Arial"/>
                <w:b/>
                <w:bCs/>
              </w:rPr>
            </w:pPr>
            <w:r w:rsidRPr="005C742C">
              <w:rPr>
                <w:rFonts w:cs="Arial"/>
                <w:b/>
              </w:rPr>
              <w:t>SIXTEEN PLUS CORPORATION</w:t>
            </w:r>
            <w:r w:rsidRPr="005C742C">
              <w:rPr>
                <w:rFonts w:cs="Arial"/>
                <w:b/>
                <w:bCs/>
              </w:rPr>
              <w:t>,</w:t>
            </w:r>
          </w:p>
          <w:p w14:paraId="4BBBF0C4" w14:textId="77777777" w:rsidR="00165F72" w:rsidRPr="00212EA8" w:rsidRDefault="00165F72" w:rsidP="00C02836">
            <w:pPr>
              <w:rPr>
                <w:rFonts w:cs="Arial"/>
                <w:b/>
                <w:bCs/>
                <w:sz w:val="16"/>
                <w:szCs w:val="16"/>
              </w:rPr>
            </w:pPr>
          </w:p>
          <w:p w14:paraId="04107542" w14:textId="77777777" w:rsidR="00165F72" w:rsidRPr="005C742C" w:rsidRDefault="00165F72" w:rsidP="00C02836">
            <w:pPr>
              <w:rPr>
                <w:rFonts w:cs="Arial"/>
                <w:bCs/>
                <w:i/>
              </w:rPr>
            </w:pPr>
            <w:r w:rsidRPr="005C742C">
              <w:rPr>
                <w:rFonts w:cs="Arial"/>
                <w:b/>
                <w:bCs/>
              </w:rPr>
              <w:tab/>
            </w:r>
            <w:r w:rsidRPr="005C742C">
              <w:rPr>
                <w:rFonts w:cs="Arial"/>
                <w:b/>
                <w:bCs/>
              </w:rPr>
              <w:tab/>
            </w:r>
            <w:r w:rsidRPr="005C742C">
              <w:rPr>
                <w:rFonts w:cs="Arial"/>
                <w:bCs/>
                <w:i/>
              </w:rPr>
              <w:t>Plaintiff,</w:t>
            </w:r>
          </w:p>
          <w:p w14:paraId="066F2797" w14:textId="6360D5D5" w:rsidR="00165F72" w:rsidRDefault="00165F72" w:rsidP="00C02836">
            <w:pPr>
              <w:rPr>
                <w:rFonts w:cs="Arial"/>
                <w:bCs/>
              </w:rPr>
            </w:pPr>
            <w:r w:rsidRPr="005C742C">
              <w:rPr>
                <w:rFonts w:cs="Arial"/>
                <w:b/>
                <w:bCs/>
              </w:rPr>
              <w:tab/>
            </w:r>
            <w:r w:rsidRPr="005C742C">
              <w:rPr>
                <w:rFonts w:cs="Arial"/>
                <w:bCs/>
              </w:rPr>
              <w:t>v.</w:t>
            </w:r>
          </w:p>
          <w:p w14:paraId="14F82E2A" w14:textId="77777777" w:rsidR="00212EA8" w:rsidRPr="00212EA8" w:rsidRDefault="00212EA8" w:rsidP="00C02836">
            <w:pPr>
              <w:rPr>
                <w:rFonts w:cs="Arial"/>
                <w:bCs/>
                <w:sz w:val="16"/>
                <w:szCs w:val="16"/>
              </w:rPr>
            </w:pPr>
          </w:p>
          <w:p w14:paraId="714E91B0" w14:textId="100FB64F" w:rsidR="00165F72" w:rsidRDefault="00165F72" w:rsidP="00212EA8">
            <w:pPr>
              <w:pStyle w:val="yiv784145645msonormal"/>
              <w:spacing w:before="0" w:beforeAutospacing="0" w:after="0" w:afterAutospacing="0"/>
              <w:rPr>
                <w:rFonts w:ascii="Arial" w:hAnsi="Arial" w:cs="Arial"/>
                <w:b/>
                <w:bCs/>
              </w:rPr>
            </w:pPr>
            <w:r w:rsidRPr="005C742C">
              <w:rPr>
                <w:rFonts w:ascii="Arial" w:hAnsi="Arial" w:cs="Arial"/>
                <w:b/>
              </w:rPr>
              <w:t>FATHI YUSUF, ISAM YOUSUF</w:t>
            </w:r>
            <w:r w:rsidRPr="005C742C">
              <w:rPr>
                <w:rFonts w:ascii="Arial" w:hAnsi="Arial" w:cs="Arial"/>
                <w:bCs/>
              </w:rPr>
              <w:t xml:space="preserve"> and </w:t>
            </w:r>
            <w:r w:rsidRPr="005C742C">
              <w:rPr>
                <w:rFonts w:ascii="Arial" w:hAnsi="Arial" w:cs="Arial"/>
                <w:b/>
                <w:bCs/>
              </w:rPr>
              <w:t>JAMIL YOUS</w:t>
            </w:r>
            <w:r w:rsidR="00033207">
              <w:rPr>
                <w:rFonts w:ascii="Arial" w:hAnsi="Arial" w:cs="Arial"/>
                <w:b/>
                <w:bCs/>
              </w:rPr>
              <w:t>U</w:t>
            </w:r>
            <w:r w:rsidRPr="005C742C">
              <w:rPr>
                <w:rFonts w:ascii="Arial" w:hAnsi="Arial" w:cs="Arial"/>
                <w:b/>
                <w:bCs/>
              </w:rPr>
              <w:t>F</w:t>
            </w:r>
            <w:r w:rsidR="00212EA8">
              <w:rPr>
                <w:rFonts w:ascii="Arial" w:hAnsi="Arial" w:cs="Arial"/>
                <w:b/>
                <w:bCs/>
              </w:rPr>
              <w:t>,</w:t>
            </w:r>
          </w:p>
          <w:p w14:paraId="45D1BF41" w14:textId="77777777" w:rsidR="00212EA8" w:rsidRPr="00212EA8" w:rsidRDefault="00212EA8" w:rsidP="00212EA8">
            <w:pPr>
              <w:pStyle w:val="yiv784145645msonormal"/>
              <w:spacing w:before="0" w:beforeAutospacing="0" w:after="0" w:afterAutospacing="0"/>
              <w:rPr>
                <w:rFonts w:ascii="Arial" w:hAnsi="Arial" w:cs="Arial"/>
                <w:b/>
                <w:sz w:val="16"/>
                <w:szCs w:val="16"/>
              </w:rPr>
            </w:pPr>
          </w:p>
          <w:p w14:paraId="6E37F1DD" w14:textId="77777777" w:rsidR="00165F72" w:rsidRPr="005C742C" w:rsidRDefault="00165F72" w:rsidP="00C02836">
            <w:pPr>
              <w:rPr>
                <w:rFonts w:cs="Arial"/>
                <w:bCs/>
                <w:i/>
              </w:rPr>
            </w:pPr>
            <w:r w:rsidRPr="005C742C">
              <w:rPr>
                <w:rFonts w:cs="Arial"/>
                <w:b/>
                <w:bCs/>
              </w:rPr>
              <w:tab/>
            </w:r>
            <w:r w:rsidRPr="005C742C">
              <w:rPr>
                <w:rFonts w:cs="Arial"/>
                <w:b/>
                <w:bCs/>
              </w:rPr>
              <w:tab/>
            </w:r>
            <w:r w:rsidRPr="005C742C">
              <w:rPr>
                <w:rFonts w:cs="Arial"/>
                <w:bCs/>
                <w:i/>
              </w:rPr>
              <w:t>Defendants,</w:t>
            </w:r>
          </w:p>
          <w:p w14:paraId="73469EE6" w14:textId="77777777" w:rsidR="00165F72" w:rsidRPr="00322299" w:rsidRDefault="00165F72" w:rsidP="00C02836">
            <w:pPr>
              <w:rPr>
                <w:rFonts w:cs="Arial"/>
                <w:b/>
                <w:bCs/>
                <w:sz w:val="12"/>
                <w:szCs w:val="12"/>
              </w:rPr>
            </w:pPr>
          </w:p>
          <w:p w14:paraId="774AC1E1" w14:textId="0B2EDB3C" w:rsidR="00165F72" w:rsidRPr="005C742C" w:rsidRDefault="003065FE" w:rsidP="00C02836">
            <w:pPr>
              <w:rPr>
                <w:rFonts w:cs="Arial"/>
                <w:bCs/>
              </w:rPr>
            </w:pPr>
            <w:r>
              <w:rPr>
                <w:rFonts w:cs="Arial"/>
                <w:bCs/>
              </w:rPr>
              <w:t xml:space="preserve">     </w:t>
            </w:r>
            <w:r w:rsidR="002938D9">
              <w:rPr>
                <w:rFonts w:cs="Arial"/>
                <w:bCs/>
              </w:rPr>
              <w:t xml:space="preserve">      </w:t>
            </w:r>
            <w:r w:rsidR="00165F72" w:rsidRPr="005C742C">
              <w:rPr>
                <w:rFonts w:cs="Arial"/>
                <w:bCs/>
              </w:rPr>
              <w:t>and</w:t>
            </w:r>
          </w:p>
          <w:p w14:paraId="09FCDD56" w14:textId="77777777" w:rsidR="00165F72" w:rsidRPr="00212EA8" w:rsidRDefault="00165F72" w:rsidP="00C02836">
            <w:pPr>
              <w:rPr>
                <w:rFonts w:cs="Arial"/>
                <w:b/>
                <w:bCs/>
                <w:sz w:val="16"/>
                <w:szCs w:val="16"/>
              </w:rPr>
            </w:pPr>
          </w:p>
          <w:p w14:paraId="44C3E4D0" w14:textId="77777777" w:rsidR="00165F72" w:rsidRPr="005C742C" w:rsidRDefault="00165F72" w:rsidP="00C02836">
            <w:pPr>
              <w:rPr>
                <w:rFonts w:cs="Arial"/>
                <w:b/>
                <w:bCs/>
              </w:rPr>
            </w:pPr>
            <w:r w:rsidRPr="005C742C">
              <w:rPr>
                <w:rFonts w:cs="Arial"/>
                <w:b/>
                <w:bCs/>
              </w:rPr>
              <w:t>SIXTEEN PLUS CORPORATION,</w:t>
            </w:r>
          </w:p>
          <w:p w14:paraId="2A2DDEB9" w14:textId="77777777" w:rsidR="00165F72" w:rsidRPr="00212EA8" w:rsidRDefault="00165F72" w:rsidP="00C02836">
            <w:pPr>
              <w:rPr>
                <w:rFonts w:cs="Arial"/>
                <w:b/>
                <w:bCs/>
                <w:sz w:val="16"/>
                <w:szCs w:val="16"/>
              </w:rPr>
            </w:pPr>
          </w:p>
          <w:p w14:paraId="3CC62CE8" w14:textId="3EAA8268" w:rsidR="00165F72" w:rsidRPr="005C742C" w:rsidRDefault="003065FE" w:rsidP="00C02836">
            <w:pPr>
              <w:rPr>
                <w:rFonts w:cs="Arial"/>
                <w:bCs/>
                <w:i/>
              </w:rPr>
            </w:pPr>
            <w:r>
              <w:rPr>
                <w:rFonts w:cs="Arial"/>
                <w:b/>
                <w:bCs/>
              </w:rPr>
              <w:t xml:space="preserve">           </w:t>
            </w:r>
            <w:r w:rsidR="00E617CA">
              <w:rPr>
                <w:rFonts w:cs="Arial"/>
                <w:b/>
                <w:bCs/>
              </w:rPr>
              <w:t xml:space="preserve">           </w:t>
            </w:r>
            <w:r w:rsidR="00165F72" w:rsidRPr="005C742C">
              <w:rPr>
                <w:rFonts w:cs="Arial"/>
                <w:bCs/>
                <w:i/>
              </w:rPr>
              <w:t>a nominal Defendant.</w:t>
            </w:r>
          </w:p>
        </w:tc>
        <w:tc>
          <w:tcPr>
            <w:tcW w:w="4523" w:type="dxa"/>
          </w:tcPr>
          <w:p w14:paraId="356B48D5" w14:textId="0430DD39" w:rsidR="00033207" w:rsidRDefault="00165F72" w:rsidP="00C02836">
            <w:pPr>
              <w:rPr>
                <w:rFonts w:cs="Arial"/>
                <w:b/>
                <w:bCs/>
              </w:rPr>
            </w:pPr>
            <w:r w:rsidRPr="005C742C">
              <w:rPr>
                <w:rFonts w:cs="Arial"/>
                <w:b/>
                <w:bCs/>
              </w:rPr>
              <w:tab/>
              <w:t>Case No.: SX-</w:t>
            </w:r>
            <w:r w:rsidR="009F2AB4">
              <w:rPr>
                <w:rFonts w:cs="Arial"/>
                <w:b/>
                <w:bCs/>
              </w:rPr>
              <w:t>2016-</w:t>
            </w:r>
            <w:r w:rsidRPr="005C742C">
              <w:rPr>
                <w:rFonts w:cs="Arial"/>
                <w:b/>
                <w:bCs/>
              </w:rPr>
              <w:t>CV-</w:t>
            </w:r>
            <w:r w:rsidR="009F2AB4">
              <w:rPr>
                <w:rFonts w:cs="Arial"/>
                <w:b/>
                <w:bCs/>
              </w:rPr>
              <w:t>00</w:t>
            </w:r>
            <w:r w:rsidRPr="005C742C">
              <w:rPr>
                <w:rFonts w:cs="Arial"/>
                <w:b/>
                <w:bCs/>
              </w:rPr>
              <w:t>650</w:t>
            </w:r>
          </w:p>
          <w:p w14:paraId="68FA3102" w14:textId="062E331B" w:rsidR="00165F72" w:rsidRPr="005C742C" w:rsidRDefault="00165F72" w:rsidP="00C02836">
            <w:pPr>
              <w:rPr>
                <w:rFonts w:cs="Arial"/>
                <w:b/>
                <w:bCs/>
              </w:rPr>
            </w:pPr>
            <w:r w:rsidRPr="005C742C">
              <w:rPr>
                <w:rFonts w:cs="Arial"/>
                <w:b/>
                <w:bCs/>
              </w:rPr>
              <w:t xml:space="preserve"> </w:t>
            </w:r>
          </w:p>
          <w:p w14:paraId="6136F7FC" w14:textId="77777777" w:rsidR="00165F72" w:rsidRPr="005C742C" w:rsidRDefault="00165F72" w:rsidP="00C02836">
            <w:pPr>
              <w:rPr>
                <w:rFonts w:cs="Arial"/>
                <w:b/>
                <w:bCs/>
              </w:rPr>
            </w:pPr>
          </w:p>
          <w:p w14:paraId="14D46BB8" w14:textId="6FD5EBCB" w:rsidR="00165F72" w:rsidRDefault="00165F72" w:rsidP="00C02836">
            <w:pPr>
              <w:ind w:left="702" w:hanging="702"/>
              <w:rPr>
                <w:rFonts w:cs="Arial"/>
                <w:b/>
                <w:bCs/>
              </w:rPr>
            </w:pPr>
            <w:r w:rsidRPr="005C742C">
              <w:rPr>
                <w:rFonts w:cs="Arial"/>
                <w:b/>
                <w:bCs/>
              </w:rPr>
              <w:tab/>
              <w:t>DERIVATIVE SHAREHOLDER SUIT, ACTION FOR DAMAGES AND CICO RELIEF</w:t>
            </w:r>
          </w:p>
          <w:p w14:paraId="7CC3B178" w14:textId="77777777" w:rsidR="00033207" w:rsidRPr="005C742C" w:rsidRDefault="00033207" w:rsidP="00C02836">
            <w:pPr>
              <w:ind w:left="702" w:hanging="702"/>
              <w:rPr>
                <w:rFonts w:cs="Arial"/>
                <w:b/>
                <w:bCs/>
              </w:rPr>
            </w:pPr>
          </w:p>
          <w:p w14:paraId="34353E46" w14:textId="77777777" w:rsidR="00165F72" w:rsidRPr="005C742C" w:rsidRDefault="00165F72" w:rsidP="00C02836">
            <w:pPr>
              <w:rPr>
                <w:rFonts w:cs="Arial"/>
                <w:b/>
                <w:bCs/>
              </w:rPr>
            </w:pPr>
          </w:p>
          <w:p w14:paraId="79A2C164" w14:textId="77777777" w:rsidR="00165F72" w:rsidRPr="005C742C" w:rsidRDefault="00165F72" w:rsidP="00C02836">
            <w:pPr>
              <w:rPr>
                <w:rFonts w:cs="Arial"/>
                <w:b/>
                <w:bCs/>
                <w:u w:val="single"/>
              </w:rPr>
            </w:pPr>
            <w:r w:rsidRPr="005C742C">
              <w:rPr>
                <w:rFonts w:cs="Arial"/>
                <w:b/>
                <w:bCs/>
              </w:rPr>
              <w:tab/>
            </w:r>
            <w:r w:rsidRPr="005C742C">
              <w:rPr>
                <w:rFonts w:cs="Arial"/>
                <w:b/>
                <w:bCs/>
                <w:u w:val="single"/>
              </w:rPr>
              <w:t>JURY TRIAL DEMANDED</w:t>
            </w:r>
          </w:p>
        </w:tc>
      </w:tr>
      <w:tr w:rsidR="00165F72" w:rsidRPr="005C742C" w14:paraId="7348756A" w14:textId="77777777" w:rsidTr="002949ED">
        <w:tc>
          <w:tcPr>
            <w:tcW w:w="4497" w:type="dxa"/>
            <w:tcBorders>
              <w:bottom w:val="single" w:sz="4" w:space="0" w:color="auto"/>
              <w:right w:val="single" w:sz="4" w:space="0" w:color="auto"/>
            </w:tcBorders>
          </w:tcPr>
          <w:p w14:paraId="453959DF" w14:textId="77777777" w:rsidR="00165F72" w:rsidRPr="00322299" w:rsidRDefault="00165F72" w:rsidP="00C02836">
            <w:pPr>
              <w:rPr>
                <w:rFonts w:cs="Arial"/>
                <w:b/>
                <w:sz w:val="8"/>
                <w:szCs w:val="8"/>
              </w:rPr>
            </w:pPr>
          </w:p>
        </w:tc>
        <w:tc>
          <w:tcPr>
            <w:tcW w:w="4523" w:type="dxa"/>
          </w:tcPr>
          <w:p w14:paraId="4439AA56" w14:textId="77777777" w:rsidR="00165F72" w:rsidRPr="000A7D63" w:rsidRDefault="00165F72" w:rsidP="00C02836">
            <w:pPr>
              <w:rPr>
                <w:rFonts w:cs="Arial"/>
                <w:b/>
                <w:bCs/>
                <w:sz w:val="8"/>
                <w:szCs w:val="8"/>
              </w:rPr>
            </w:pPr>
          </w:p>
        </w:tc>
      </w:tr>
    </w:tbl>
    <w:p w14:paraId="65504E0D" w14:textId="6037179C" w:rsidR="00B82318" w:rsidRPr="00212EA8" w:rsidRDefault="00000000">
      <w:pPr>
        <w:rPr>
          <w:sz w:val="12"/>
          <w:szCs w:val="12"/>
        </w:rPr>
      </w:pPr>
    </w:p>
    <w:p w14:paraId="14463953" w14:textId="342F9D04" w:rsidR="005F69BB" w:rsidRDefault="005F69BB" w:rsidP="005F69BB">
      <w:pPr>
        <w:adjustRightInd w:val="0"/>
        <w:contextualSpacing/>
        <w:jc w:val="center"/>
        <w:rPr>
          <w:rFonts w:cs="Arial"/>
          <w:b/>
          <w:bCs/>
        </w:rPr>
      </w:pPr>
      <w:bookmarkStart w:id="0" w:name="_Hlk121329315"/>
      <w:r>
        <w:rPr>
          <w:rFonts w:cs="Arial"/>
          <w:b/>
          <w:bCs/>
        </w:rPr>
        <w:t>HISHAM HAMED’S REPLY</w:t>
      </w:r>
      <w:r w:rsidR="000428EE">
        <w:rPr>
          <w:rFonts w:cs="Arial"/>
          <w:b/>
          <w:bCs/>
        </w:rPr>
        <w:t xml:space="preserve"> </w:t>
      </w:r>
      <w:r>
        <w:rPr>
          <w:rFonts w:cs="Arial"/>
          <w:b/>
          <w:bCs/>
        </w:rPr>
        <w:t>TO ISAM YOUSUF’S OPPOSITION</w:t>
      </w:r>
    </w:p>
    <w:p w14:paraId="56156EBF" w14:textId="5019B37A" w:rsidR="005F69BB" w:rsidRDefault="005F69BB" w:rsidP="005F69BB">
      <w:pPr>
        <w:adjustRightInd w:val="0"/>
        <w:contextualSpacing/>
        <w:jc w:val="center"/>
        <w:rPr>
          <w:rFonts w:cs="Arial"/>
          <w:b/>
          <w:bCs/>
        </w:rPr>
      </w:pPr>
      <w:r>
        <w:rPr>
          <w:rFonts w:cs="Arial"/>
          <w:b/>
          <w:bCs/>
        </w:rPr>
        <w:t xml:space="preserve">TO </w:t>
      </w:r>
      <w:r w:rsidR="000A2139">
        <w:rPr>
          <w:rFonts w:cs="Arial"/>
          <w:b/>
          <w:bCs/>
        </w:rPr>
        <w:t>HAMED’S</w:t>
      </w:r>
      <w:r>
        <w:rPr>
          <w:rFonts w:cs="Arial"/>
          <w:b/>
          <w:bCs/>
        </w:rPr>
        <w:t xml:space="preserve"> SECOND MOTION TO COMPEL: </w:t>
      </w:r>
    </w:p>
    <w:p w14:paraId="7C2B8211" w14:textId="299BB903" w:rsidR="005F69BB" w:rsidRPr="005F69BB" w:rsidRDefault="005F69BB" w:rsidP="005F69BB">
      <w:pPr>
        <w:adjustRightInd w:val="0"/>
        <w:contextualSpacing/>
        <w:jc w:val="center"/>
        <w:rPr>
          <w:rFonts w:cs="Arial"/>
          <w:b/>
          <w:bCs/>
        </w:rPr>
      </w:pPr>
      <w:r w:rsidRPr="005F69BB">
        <w:rPr>
          <w:b/>
          <w:bCs/>
        </w:rPr>
        <w:t>AS TO BANK ACCOUNT DOCUMENTS IN THE CONTROL OF ISAM YOUSUF</w:t>
      </w:r>
    </w:p>
    <w:p w14:paraId="418C6EA2" w14:textId="77777777" w:rsidR="00E001DA" w:rsidRPr="0001798E" w:rsidRDefault="00E001DA" w:rsidP="000C40D7">
      <w:pPr>
        <w:adjustRightInd w:val="0"/>
        <w:rPr>
          <w:rFonts w:cs="Arial"/>
          <w:b/>
          <w:sz w:val="16"/>
          <w:szCs w:val="16"/>
        </w:rPr>
      </w:pPr>
    </w:p>
    <w:bookmarkEnd w:id="0"/>
    <w:p w14:paraId="00F0827B" w14:textId="6E83B090" w:rsidR="000A2139" w:rsidRPr="000A2139" w:rsidRDefault="000A2139" w:rsidP="005F69BB">
      <w:pPr>
        <w:pStyle w:val="ListParagraph"/>
        <w:numPr>
          <w:ilvl w:val="0"/>
          <w:numId w:val="14"/>
        </w:numPr>
        <w:spacing w:after="0" w:line="240" w:lineRule="auto"/>
        <w:jc w:val="both"/>
        <w:outlineLvl w:val="0"/>
        <w:rPr>
          <w:rFonts w:ascii="Arial" w:hAnsi="Arial" w:cs="Arial"/>
          <w:b/>
          <w:bCs/>
          <w:sz w:val="24"/>
          <w:szCs w:val="24"/>
        </w:rPr>
      </w:pPr>
      <w:r w:rsidRPr="000A2139">
        <w:rPr>
          <w:rFonts w:ascii="Arial" w:hAnsi="Arial" w:cs="Arial"/>
          <w:b/>
          <w:bCs/>
          <w:sz w:val="24"/>
          <w:szCs w:val="24"/>
        </w:rPr>
        <w:t>Introduction</w:t>
      </w:r>
    </w:p>
    <w:p w14:paraId="6C8B322D" w14:textId="3F202EE2" w:rsidR="000A2139" w:rsidRPr="00322299" w:rsidRDefault="000A2139" w:rsidP="000A2139">
      <w:pPr>
        <w:jc w:val="both"/>
        <w:outlineLvl w:val="0"/>
        <w:rPr>
          <w:rFonts w:cs="Arial"/>
          <w:sz w:val="16"/>
          <w:szCs w:val="16"/>
        </w:rPr>
      </w:pPr>
    </w:p>
    <w:p w14:paraId="36800E1B" w14:textId="7CDEAB01" w:rsidR="000428EE" w:rsidRDefault="000A2139" w:rsidP="000A2139">
      <w:pPr>
        <w:spacing w:line="480" w:lineRule="auto"/>
        <w:ind w:firstLine="720"/>
        <w:jc w:val="both"/>
        <w:outlineLvl w:val="0"/>
        <w:rPr>
          <w:rFonts w:cs="Arial"/>
        </w:rPr>
      </w:pPr>
      <w:r>
        <w:rPr>
          <w:rFonts w:cs="Arial"/>
        </w:rPr>
        <w:t xml:space="preserve">Isam Yousuf’s </w:t>
      </w:r>
      <w:r w:rsidR="0089735D">
        <w:rPr>
          <w:rFonts w:cs="Arial"/>
        </w:rPr>
        <w:t>(“Isam</w:t>
      </w:r>
      <w:r w:rsidR="008A471F">
        <w:rPr>
          <w:rFonts w:cs="Arial"/>
        </w:rPr>
        <w:t>’s</w:t>
      </w:r>
      <w:r w:rsidR="0089735D">
        <w:rPr>
          <w:rFonts w:cs="Arial"/>
        </w:rPr>
        <w:t>”)</w:t>
      </w:r>
      <w:r w:rsidR="0089735D">
        <w:rPr>
          <w:rStyle w:val="FootnoteReference"/>
          <w:rFonts w:cs="Arial"/>
        </w:rPr>
        <w:footnoteReference w:id="1"/>
      </w:r>
      <w:r w:rsidR="0089735D">
        <w:rPr>
          <w:rFonts w:cs="Arial"/>
        </w:rPr>
        <w:t xml:space="preserve"> </w:t>
      </w:r>
      <w:r w:rsidR="00BD0537">
        <w:rPr>
          <w:rFonts w:cs="Arial"/>
        </w:rPr>
        <w:t xml:space="preserve">December 22, 2022 </w:t>
      </w:r>
      <w:r>
        <w:rPr>
          <w:rFonts w:cs="Arial"/>
        </w:rPr>
        <w:t xml:space="preserve">opposition fails to respond to most of the factual and legal points raised in </w:t>
      </w:r>
      <w:r w:rsidR="000428EE">
        <w:rPr>
          <w:rFonts w:cs="Arial"/>
        </w:rPr>
        <w:t>Hamed’s November 23, 2022</w:t>
      </w:r>
      <w:r>
        <w:rPr>
          <w:rFonts w:cs="Arial"/>
        </w:rPr>
        <w:t xml:space="preserve"> </w:t>
      </w:r>
      <w:r w:rsidR="00357730" w:rsidRPr="00357730">
        <w:rPr>
          <w:rFonts w:cs="Arial"/>
          <w:i/>
          <w:iCs/>
        </w:rPr>
        <w:t>Second M</w:t>
      </w:r>
      <w:r w:rsidRPr="00357730">
        <w:rPr>
          <w:rFonts w:cs="Arial"/>
          <w:i/>
          <w:iCs/>
        </w:rPr>
        <w:t>otion</w:t>
      </w:r>
      <w:r w:rsidR="00357730" w:rsidRPr="00357730">
        <w:rPr>
          <w:rFonts w:cs="Arial"/>
          <w:i/>
          <w:iCs/>
        </w:rPr>
        <w:t xml:space="preserve"> to Compel</w:t>
      </w:r>
      <w:r w:rsidR="00393954">
        <w:rPr>
          <w:rFonts w:cs="Arial"/>
          <w:i/>
          <w:iCs/>
        </w:rPr>
        <w:t xml:space="preserve"> </w:t>
      </w:r>
      <w:r w:rsidR="00393954">
        <w:rPr>
          <w:rFonts w:cs="Arial"/>
        </w:rPr>
        <w:t>(“Motion”)</w:t>
      </w:r>
      <w:r>
        <w:rPr>
          <w:rFonts w:cs="Arial"/>
        </w:rPr>
        <w:t xml:space="preserve">. </w:t>
      </w:r>
      <w:r w:rsidR="008A471F">
        <w:rPr>
          <w:rFonts w:cs="Arial"/>
        </w:rPr>
        <w:t xml:space="preserve">However, Isam </w:t>
      </w:r>
      <w:r>
        <w:rPr>
          <w:rFonts w:cs="Arial"/>
        </w:rPr>
        <w:t>does</w:t>
      </w:r>
      <w:r w:rsidR="008A471F">
        <w:rPr>
          <w:rFonts w:cs="Arial"/>
        </w:rPr>
        <w:t xml:space="preserve"> raise five points—four being unsupported assertions of fact, and the fifth being </w:t>
      </w:r>
      <w:r w:rsidR="002938D9">
        <w:rPr>
          <w:rFonts w:cs="Arial"/>
        </w:rPr>
        <w:t>an</w:t>
      </w:r>
      <w:r w:rsidR="008A471F">
        <w:rPr>
          <w:rFonts w:cs="Arial"/>
        </w:rPr>
        <w:t xml:space="preserve"> attempt </w:t>
      </w:r>
      <w:r w:rsidR="00A41A39">
        <w:rPr>
          <w:rFonts w:cs="Arial"/>
        </w:rPr>
        <w:t>to interpose</w:t>
      </w:r>
      <w:r w:rsidR="008A471F">
        <w:rPr>
          <w:rFonts w:cs="Arial"/>
        </w:rPr>
        <w:t xml:space="preserve"> </w:t>
      </w:r>
      <w:r w:rsidR="00393954">
        <w:rPr>
          <w:rFonts w:cs="Arial"/>
        </w:rPr>
        <w:t xml:space="preserve">a </w:t>
      </w:r>
      <w:r w:rsidR="008A471F">
        <w:rPr>
          <w:rFonts w:cs="Arial"/>
        </w:rPr>
        <w:t xml:space="preserve">legal argument that the </w:t>
      </w:r>
      <w:r w:rsidR="00A41A39">
        <w:rPr>
          <w:rFonts w:cs="Arial"/>
        </w:rPr>
        <w:t xml:space="preserve">affirmative defense of </w:t>
      </w:r>
      <w:r w:rsidRPr="00BD0537">
        <w:rPr>
          <w:rFonts w:cs="Arial"/>
          <w:i/>
          <w:iCs/>
        </w:rPr>
        <w:t>unclean hands</w:t>
      </w:r>
      <w:r w:rsidR="00A41A39">
        <w:rPr>
          <w:rFonts w:cs="Arial"/>
        </w:rPr>
        <w:t xml:space="preserve"> </w:t>
      </w:r>
      <w:r w:rsidR="008A471F">
        <w:rPr>
          <w:rFonts w:cs="Arial"/>
        </w:rPr>
        <w:t>somehow</w:t>
      </w:r>
      <w:r w:rsidR="00A41A39">
        <w:rPr>
          <w:rFonts w:cs="Arial"/>
        </w:rPr>
        <w:t xml:space="preserve"> relieve</w:t>
      </w:r>
      <w:r w:rsidR="008A471F">
        <w:rPr>
          <w:rFonts w:cs="Arial"/>
        </w:rPr>
        <w:t>s</w:t>
      </w:r>
      <w:r w:rsidR="00A41A39">
        <w:rPr>
          <w:rFonts w:cs="Arial"/>
        </w:rPr>
        <w:t xml:space="preserve"> him </w:t>
      </w:r>
      <w:r w:rsidR="002938D9">
        <w:rPr>
          <w:rFonts w:cs="Arial"/>
        </w:rPr>
        <w:t>from</w:t>
      </w:r>
      <w:r w:rsidR="00A41A39">
        <w:rPr>
          <w:rFonts w:cs="Arial"/>
        </w:rPr>
        <w:t xml:space="preserve"> having to respond to discovery</w:t>
      </w:r>
      <w:r w:rsidR="008A471F">
        <w:rPr>
          <w:rFonts w:cs="Arial"/>
        </w:rPr>
        <w:t xml:space="preserve"> at this stage of the proceedings</w:t>
      </w:r>
      <w:r>
        <w:rPr>
          <w:rFonts w:cs="Arial"/>
        </w:rPr>
        <w:t xml:space="preserve">. Thus, this reply is divided into three parts: </w:t>
      </w:r>
    </w:p>
    <w:p w14:paraId="3705B98D" w14:textId="77B997F5" w:rsidR="000428EE" w:rsidRDefault="000A2139" w:rsidP="00322299">
      <w:pPr>
        <w:spacing w:after="120"/>
        <w:ind w:firstLine="720"/>
        <w:jc w:val="both"/>
        <w:outlineLvl w:val="0"/>
        <w:rPr>
          <w:rFonts w:cs="Arial"/>
        </w:rPr>
      </w:pPr>
      <w:r>
        <w:rPr>
          <w:rFonts w:cs="Arial"/>
        </w:rPr>
        <w:t>(1) a response to the</w:t>
      </w:r>
      <w:r w:rsidR="00BC05EF">
        <w:rPr>
          <w:rFonts w:cs="Arial"/>
        </w:rPr>
        <w:t xml:space="preserve"> </w:t>
      </w:r>
      <w:r w:rsidR="000031AC">
        <w:rPr>
          <w:rFonts w:cs="Arial"/>
        </w:rPr>
        <w:t xml:space="preserve">four </w:t>
      </w:r>
      <w:r w:rsidR="008A471F">
        <w:rPr>
          <w:rFonts w:cs="Arial"/>
        </w:rPr>
        <w:t>factual</w:t>
      </w:r>
      <w:r>
        <w:rPr>
          <w:rFonts w:cs="Arial"/>
        </w:rPr>
        <w:t xml:space="preserve"> points raised in </w:t>
      </w:r>
      <w:r w:rsidR="009930B4">
        <w:rPr>
          <w:rFonts w:cs="Arial"/>
        </w:rPr>
        <w:t>Isam’s</w:t>
      </w:r>
      <w:r>
        <w:rPr>
          <w:rFonts w:cs="Arial"/>
        </w:rPr>
        <w:t xml:space="preserve"> opposition</w:t>
      </w:r>
      <w:r w:rsidR="00BC05EF">
        <w:rPr>
          <w:rFonts w:cs="Arial"/>
        </w:rPr>
        <w:t xml:space="preserve"> [Section II]</w:t>
      </w:r>
      <w:r>
        <w:rPr>
          <w:rFonts w:cs="Arial"/>
        </w:rPr>
        <w:t xml:space="preserve">, </w:t>
      </w:r>
    </w:p>
    <w:p w14:paraId="531A1E4C" w14:textId="1160E859" w:rsidR="000031AC" w:rsidRDefault="000031AC" w:rsidP="00322299">
      <w:pPr>
        <w:spacing w:after="120"/>
        <w:ind w:firstLine="720"/>
        <w:jc w:val="both"/>
        <w:outlineLvl w:val="0"/>
        <w:rPr>
          <w:rFonts w:cs="Arial"/>
        </w:rPr>
      </w:pPr>
      <w:r>
        <w:rPr>
          <w:rFonts w:cs="Arial"/>
        </w:rPr>
        <w:t xml:space="preserve">(2) a discussion of Isam’s fifth point, his assertion </w:t>
      </w:r>
      <w:r w:rsidR="008A471F">
        <w:rPr>
          <w:rFonts w:cs="Arial"/>
        </w:rPr>
        <w:t xml:space="preserve">at law </w:t>
      </w:r>
      <w:r>
        <w:rPr>
          <w:rFonts w:cs="Arial"/>
        </w:rPr>
        <w:t xml:space="preserve">that the affirmative defense of “unclean hands” applies at this stage, and that </w:t>
      </w:r>
      <w:r w:rsidR="008A471F">
        <w:rPr>
          <w:rFonts w:cs="Arial"/>
        </w:rPr>
        <w:t xml:space="preserve">it blocks Hamed from taking </w:t>
      </w:r>
      <w:r w:rsidR="002938D9">
        <w:rPr>
          <w:rFonts w:cs="Arial"/>
        </w:rPr>
        <w:t xml:space="preserve">this </w:t>
      </w:r>
      <w:r w:rsidR="008A471F">
        <w:rPr>
          <w:rFonts w:cs="Arial"/>
        </w:rPr>
        <w:t>discovery. Hamed also addresses t</w:t>
      </w:r>
      <w:r>
        <w:rPr>
          <w:rFonts w:cs="Arial"/>
        </w:rPr>
        <w:t xml:space="preserve">he broader issue </w:t>
      </w:r>
      <w:r w:rsidR="008A471F">
        <w:rPr>
          <w:rFonts w:cs="Arial"/>
        </w:rPr>
        <w:t xml:space="preserve">Isam’s </w:t>
      </w:r>
      <w:r w:rsidR="003065FE">
        <w:rPr>
          <w:rFonts w:cs="Arial"/>
        </w:rPr>
        <w:t xml:space="preserve">contention </w:t>
      </w:r>
      <w:r>
        <w:rPr>
          <w:rFonts w:cs="Arial"/>
        </w:rPr>
        <w:t>raises—</w:t>
      </w:r>
      <w:r w:rsidR="003065FE">
        <w:rPr>
          <w:rFonts w:cs="Arial"/>
        </w:rPr>
        <w:t xml:space="preserve">comparing </w:t>
      </w:r>
      <w:r w:rsidR="008A471F">
        <w:rPr>
          <w:rFonts w:cs="Arial"/>
        </w:rPr>
        <w:t xml:space="preserve">unclean hands </w:t>
      </w:r>
      <w:r w:rsidR="003065FE">
        <w:rPr>
          <w:rFonts w:cs="Arial"/>
        </w:rPr>
        <w:t>to</w:t>
      </w:r>
      <w:r w:rsidR="008A471F">
        <w:rPr>
          <w:rFonts w:cs="Arial"/>
        </w:rPr>
        <w:t xml:space="preserve"> the</w:t>
      </w:r>
      <w:r>
        <w:rPr>
          <w:rFonts w:cs="Arial"/>
        </w:rPr>
        <w:t xml:space="preserve"> reciprocal assertion of “</w:t>
      </w:r>
      <w:r w:rsidRPr="00BD0537">
        <w:rPr>
          <w:rFonts w:cs="Arial"/>
          <w:i/>
          <w:iCs/>
        </w:rPr>
        <w:t>in pari delicto</w:t>
      </w:r>
      <w:r>
        <w:rPr>
          <w:rFonts w:cs="Arial"/>
        </w:rPr>
        <w:t>”</w:t>
      </w:r>
      <w:r w:rsidR="003065FE">
        <w:rPr>
          <w:rFonts w:cs="Arial"/>
        </w:rPr>
        <w:t xml:space="preserve"> </w:t>
      </w:r>
      <w:r>
        <w:rPr>
          <w:rFonts w:cs="Arial"/>
        </w:rPr>
        <w:t xml:space="preserve">[Section </w:t>
      </w:r>
      <w:r w:rsidR="008A471F">
        <w:rPr>
          <w:rFonts w:cs="Arial"/>
        </w:rPr>
        <w:t>III</w:t>
      </w:r>
      <w:r>
        <w:rPr>
          <w:rFonts w:cs="Arial"/>
        </w:rPr>
        <w:t>]</w:t>
      </w:r>
      <w:r w:rsidR="00322299">
        <w:rPr>
          <w:rFonts w:cs="Arial"/>
        </w:rPr>
        <w:t>, and</w:t>
      </w:r>
    </w:p>
    <w:p w14:paraId="72474F50" w14:textId="6BE23C8C" w:rsidR="000428EE" w:rsidRDefault="003065FE" w:rsidP="00322299">
      <w:pPr>
        <w:ind w:firstLine="720"/>
        <w:jc w:val="both"/>
        <w:outlineLvl w:val="0"/>
        <w:rPr>
          <w:rFonts w:cs="Arial"/>
        </w:rPr>
      </w:pPr>
      <w:r>
        <w:rPr>
          <w:rFonts w:cs="Arial"/>
        </w:rPr>
        <w:t xml:space="preserve">(3) </w:t>
      </w:r>
      <w:r w:rsidR="000A2139">
        <w:rPr>
          <w:rFonts w:cs="Arial"/>
        </w:rPr>
        <w:t xml:space="preserve">a discussion of the points in </w:t>
      </w:r>
      <w:r w:rsidR="009930B4">
        <w:rPr>
          <w:rFonts w:cs="Arial"/>
        </w:rPr>
        <w:t xml:space="preserve">Hamed’s </w:t>
      </w:r>
      <w:r w:rsidR="000A2139">
        <w:rPr>
          <w:rFonts w:cs="Arial"/>
        </w:rPr>
        <w:t xml:space="preserve">motion which remain unaddressed—and the </w:t>
      </w:r>
      <w:r w:rsidR="000031AC">
        <w:rPr>
          <w:rFonts w:cs="Arial"/>
        </w:rPr>
        <w:t>effect</w:t>
      </w:r>
      <w:r w:rsidR="000A2139">
        <w:rPr>
          <w:rFonts w:cs="Arial"/>
        </w:rPr>
        <w:t xml:space="preserve"> of </w:t>
      </w:r>
      <w:r w:rsidR="00BD0537">
        <w:rPr>
          <w:rFonts w:cs="Arial"/>
        </w:rPr>
        <w:t>Isam’s</w:t>
      </w:r>
      <w:r w:rsidR="000A2139">
        <w:rPr>
          <w:rFonts w:cs="Arial"/>
        </w:rPr>
        <w:t xml:space="preserve"> failure</w:t>
      </w:r>
      <w:r w:rsidR="00BC05EF">
        <w:rPr>
          <w:rFonts w:cs="Arial"/>
        </w:rPr>
        <w:t xml:space="preserve"> to respond [Section I</w:t>
      </w:r>
      <w:r w:rsidR="008A471F">
        <w:rPr>
          <w:rFonts w:cs="Arial"/>
        </w:rPr>
        <w:t>V</w:t>
      </w:r>
      <w:r w:rsidR="00BC05EF">
        <w:rPr>
          <w:rFonts w:cs="Arial"/>
        </w:rPr>
        <w:t>]</w:t>
      </w:r>
      <w:r w:rsidR="00DD3CD7">
        <w:rPr>
          <w:rFonts w:cs="Arial"/>
        </w:rPr>
        <w:t>.</w:t>
      </w:r>
    </w:p>
    <w:p w14:paraId="5E61097E" w14:textId="77777777" w:rsidR="00322299" w:rsidRDefault="00322299" w:rsidP="00322299">
      <w:pPr>
        <w:ind w:firstLine="720"/>
        <w:jc w:val="both"/>
        <w:outlineLvl w:val="0"/>
        <w:rPr>
          <w:rFonts w:cs="Arial"/>
        </w:rPr>
      </w:pPr>
    </w:p>
    <w:p w14:paraId="0222125D" w14:textId="316273EC" w:rsidR="000A2139" w:rsidRDefault="000A2139" w:rsidP="00212EA8">
      <w:pPr>
        <w:pStyle w:val="ListParagraph"/>
        <w:numPr>
          <w:ilvl w:val="0"/>
          <w:numId w:val="14"/>
        </w:numPr>
        <w:spacing w:after="0" w:line="240" w:lineRule="auto"/>
        <w:jc w:val="both"/>
        <w:outlineLvl w:val="0"/>
        <w:rPr>
          <w:rFonts w:ascii="Arial" w:hAnsi="Arial" w:cs="Arial"/>
          <w:b/>
          <w:bCs/>
          <w:sz w:val="24"/>
        </w:rPr>
      </w:pPr>
      <w:r w:rsidRPr="000A2139">
        <w:rPr>
          <w:rFonts w:ascii="Arial" w:hAnsi="Arial" w:cs="Arial"/>
          <w:b/>
          <w:bCs/>
          <w:sz w:val="24"/>
        </w:rPr>
        <w:t>Hamed’s Response</w:t>
      </w:r>
      <w:r w:rsidR="0083486A">
        <w:rPr>
          <w:rFonts w:ascii="Arial" w:hAnsi="Arial" w:cs="Arial"/>
          <w:b/>
          <w:bCs/>
          <w:sz w:val="24"/>
        </w:rPr>
        <w:t>s</w:t>
      </w:r>
      <w:r w:rsidRPr="000A2139">
        <w:rPr>
          <w:rFonts w:ascii="Arial" w:hAnsi="Arial" w:cs="Arial"/>
          <w:b/>
          <w:bCs/>
          <w:sz w:val="24"/>
        </w:rPr>
        <w:t xml:space="preserve"> to </w:t>
      </w:r>
      <w:r w:rsidR="003065FE">
        <w:rPr>
          <w:rFonts w:ascii="Arial" w:hAnsi="Arial" w:cs="Arial"/>
          <w:b/>
          <w:bCs/>
          <w:sz w:val="24"/>
        </w:rPr>
        <w:t xml:space="preserve">Isam’s Four </w:t>
      </w:r>
      <w:r w:rsidR="003065FE" w:rsidRPr="003065FE">
        <w:rPr>
          <w:rFonts w:ascii="Arial" w:hAnsi="Arial" w:cs="Arial"/>
          <w:b/>
          <w:bCs/>
          <w:i/>
          <w:iCs/>
          <w:sz w:val="24"/>
        </w:rPr>
        <w:t>Factual</w:t>
      </w:r>
      <w:r w:rsidR="003065FE">
        <w:rPr>
          <w:rFonts w:ascii="Arial" w:hAnsi="Arial" w:cs="Arial"/>
          <w:b/>
          <w:bCs/>
          <w:sz w:val="24"/>
        </w:rPr>
        <w:t xml:space="preserve"> Ass</w:t>
      </w:r>
      <w:r w:rsidRPr="000A2139">
        <w:rPr>
          <w:rFonts w:ascii="Arial" w:hAnsi="Arial" w:cs="Arial"/>
          <w:b/>
          <w:bCs/>
          <w:sz w:val="24"/>
        </w:rPr>
        <w:t>ertions</w:t>
      </w:r>
    </w:p>
    <w:p w14:paraId="2905F92E" w14:textId="77777777" w:rsidR="00212EA8" w:rsidRPr="00212EA8" w:rsidRDefault="00212EA8" w:rsidP="00212EA8">
      <w:pPr>
        <w:pStyle w:val="ListParagraph"/>
        <w:spacing w:after="0" w:line="240" w:lineRule="auto"/>
        <w:ind w:left="1080"/>
        <w:jc w:val="both"/>
        <w:outlineLvl w:val="0"/>
        <w:rPr>
          <w:rFonts w:ascii="Arial" w:hAnsi="Arial" w:cs="Arial"/>
          <w:b/>
          <w:bCs/>
          <w:sz w:val="16"/>
          <w:szCs w:val="16"/>
        </w:rPr>
      </w:pPr>
    </w:p>
    <w:p w14:paraId="0D8A1FCB" w14:textId="134D7491" w:rsidR="000A2139" w:rsidRDefault="000A2139" w:rsidP="00212EA8">
      <w:pPr>
        <w:pStyle w:val="ListParagraph"/>
        <w:spacing w:after="0" w:line="240" w:lineRule="auto"/>
        <w:ind w:left="0" w:firstLine="720"/>
        <w:jc w:val="both"/>
        <w:outlineLvl w:val="0"/>
        <w:rPr>
          <w:rFonts w:ascii="Arial" w:hAnsi="Arial" w:cs="Arial"/>
          <w:sz w:val="24"/>
        </w:rPr>
      </w:pPr>
      <w:r>
        <w:rPr>
          <w:rFonts w:ascii="Arial" w:hAnsi="Arial" w:cs="Arial"/>
          <w:sz w:val="24"/>
        </w:rPr>
        <w:t xml:space="preserve">Isam </w:t>
      </w:r>
      <w:r w:rsidR="003065FE">
        <w:rPr>
          <w:rFonts w:ascii="Arial" w:hAnsi="Arial" w:cs="Arial"/>
          <w:sz w:val="24"/>
        </w:rPr>
        <w:t xml:space="preserve">raises </w:t>
      </w:r>
      <w:r w:rsidR="000031AC">
        <w:rPr>
          <w:rFonts w:ascii="Arial" w:hAnsi="Arial" w:cs="Arial"/>
          <w:sz w:val="24"/>
        </w:rPr>
        <w:t>five points—</w:t>
      </w:r>
      <w:r w:rsidR="00357730">
        <w:rPr>
          <w:rFonts w:ascii="Arial" w:hAnsi="Arial" w:cs="Arial"/>
          <w:sz w:val="24"/>
        </w:rPr>
        <w:t>presented here</w:t>
      </w:r>
      <w:r w:rsidR="003065FE">
        <w:rPr>
          <w:rFonts w:ascii="Arial" w:hAnsi="Arial" w:cs="Arial"/>
          <w:sz w:val="24"/>
        </w:rPr>
        <w:t>,</w:t>
      </w:r>
      <w:r w:rsidR="000031AC">
        <w:rPr>
          <w:rFonts w:ascii="Arial" w:hAnsi="Arial" w:cs="Arial"/>
          <w:sz w:val="24"/>
        </w:rPr>
        <w:t xml:space="preserve"> verbatim</w:t>
      </w:r>
      <w:r w:rsidR="003065FE">
        <w:rPr>
          <w:rFonts w:ascii="Arial" w:hAnsi="Arial" w:cs="Arial"/>
          <w:sz w:val="24"/>
        </w:rPr>
        <w:t>,</w:t>
      </w:r>
      <w:r w:rsidR="000031AC">
        <w:rPr>
          <w:rFonts w:ascii="Arial" w:hAnsi="Arial" w:cs="Arial"/>
          <w:sz w:val="24"/>
        </w:rPr>
        <w:t xml:space="preserve"> directly from his opposition</w:t>
      </w:r>
      <w:r w:rsidR="003065FE">
        <w:rPr>
          <w:rFonts w:ascii="Arial" w:hAnsi="Arial" w:cs="Arial"/>
          <w:sz w:val="24"/>
        </w:rPr>
        <w:t>:</w:t>
      </w:r>
    </w:p>
    <w:p w14:paraId="435B2D2A" w14:textId="77777777" w:rsidR="00212EA8" w:rsidRPr="00212EA8" w:rsidRDefault="00212EA8" w:rsidP="00212EA8">
      <w:pPr>
        <w:pStyle w:val="ListParagraph"/>
        <w:spacing w:after="0" w:line="240" w:lineRule="auto"/>
        <w:ind w:left="0" w:firstLine="720"/>
        <w:jc w:val="both"/>
        <w:outlineLvl w:val="0"/>
        <w:rPr>
          <w:rFonts w:ascii="Arial" w:hAnsi="Arial" w:cs="Arial"/>
          <w:sz w:val="16"/>
          <w:szCs w:val="16"/>
        </w:rPr>
      </w:pPr>
    </w:p>
    <w:p w14:paraId="4BCB89B6" w14:textId="1EA1FAF4" w:rsidR="004465A5" w:rsidRPr="003103C7" w:rsidRDefault="004465A5" w:rsidP="003103C7">
      <w:pPr>
        <w:pStyle w:val="BodyText"/>
        <w:numPr>
          <w:ilvl w:val="0"/>
          <w:numId w:val="17"/>
        </w:numPr>
        <w:spacing w:after="120"/>
        <w:ind w:left="1181" w:right="115"/>
        <w:jc w:val="both"/>
      </w:pPr>
      <w:r w:rsidRPr="003103C7">
        <w:t>At page</w:t>
      </w:r>
      <w:r w:rsidR="009930B4">
        <w:t>s</w:t>
      </w:r>
      <w:r w:rsidRPr="003103C7">
        <w:t xml:space="preserve"> 1-2: “The business in question is no longer in </w:t>
      </w:r>
      <w:r w:rsidR="004A4798" w:rsidRPr="003103C7">
        <w:t>operation and</w:t>
      </w:r>
      <w:r w:rsidRPr="003103C7">
        <w:t xml:space="preserve"> has not been</w:t>
      </w:r>
      <w:r w:rsidRPr="003103C7">
        <w:rPr>
          <w:spacing w:val="16"/>
        </w:rPr>
        <w:t xml:space="preserve"> </w:t>
      </w:r>
      <w:r w:rsidRPr="003103C7">
        <w:t>for</w:t>
      </w:r>
      <w:r w:rsidRPr="003103C7">
        <w:rPr>
          <w:spacing w:val="14"/>
        </w:rPr>
        <w:t xml:space="preserve"> </w:t>
      </w:r>
      <w:r w:rsidRPr="003103C7">
        <w:t>more</w:t>
      </w:r>
      <w:r w:rsidRPr="003103C7">
        <w:rPr>
          <w:spacing w:val="17"/>
        </w:rPr>
        <w:t xml:space="preserve"> </w:t>
      </w:r>
      <w:r w:rsidRPr="003103C7">
        <w:t>than</w:t>
      </w:r>
      <w:r w:rsidRPr="003103C7">
        <w:rPr>
          <w:spacing w:val="17"/>
        </w:rPr>
        <w:t xml:space="preserve"> </w:t>
      </w:r>
      <w:r w:rsidRPr="003103C7">
        <w:t>twenty</w:t>
      </w:r>
      <w:r w:rsidRPr="003103C7">
        <w:rPr>
          <w:spacing w:val="18"/>
        </w:rPr>
        <w:t xml:space="preserve"> </w:t>
      </w:r>
      <w:r w:rsidRPr="003103C7">
        <w:t>(20)</w:t>
      </w:r>
      <w:r w:rsidRPr="003103C7">
        <w:rPr>
          <w:spacing w:val="16"/>
        </w:rPr>
        <w:t xml:space="preserve"> </w:t>
      </w:r>
      <w:r w:rsidRPr="003103C7">
        <w:t>years,</w:t>
      </w:r>
      <w:r w:rsidRPr="003103C7">
        <w:rPr>
          <w:spacing w:val="18"/>
        </w:rPr>
        <w:t xml:space="preserve"> </w:t>
      </w:r>
      <w:r w:rsidRPr="003103C7">
        <w:t>which</w:t>
      </w:r>
      <w:r w:rsidRPr="003103C7">
        <w:rPr>
          <w:spacing w:val="16"/>
        </w:rPr>
        <w:t xml:space="preserve"> </w:t>
      </w:r>
      <w:r w:rsidRPr="003103C7">
        <w:t>explains</w:t>
      </w:r>
      <w:r w:rsidRPr="003103C7">
        <w:rPr>
          <w:spacing w:val="17"/>
        </w:rPr>
        <w:t xml:space="preserve"> </w:t>
      </w:r>
      <w:r w:rsidRPr="003103C7">
        <w:t>why</w:t>
      </w:r>
      <w:r w:rsidRPr="003103C7">
        <w:rPr>
          <w:spacing w:val="15"/>
        </w:rPr>
        <w:t xml:space="preserve"> </w:t>
      </w:r>
      <w:r w:rsidRPr="003103C7">
        <w:t>production</w:t>
      </w:r>
      <w:r w:rsidRPr="003103C7">
        <w:rPr>
          <w:spacing w:val="18"/>
        </w:rPr>
        <w:t xml:space="preserve"> </w:t>
      </w:r>
      <w:r w:rsidRPr="003103C7">
        <w:t>of</w:t>
      </w:r>
      <w:r w:rsidRPr="003103C7">
        <w:rPr>
          <w:spacing w:val="15"/>
        </w:rPr>
        <w:t xml:space="preserve"> </w:t>
      </w:r>
      <w:r w:rsidRPr="003103C7">
        <w:t>the</w:t>
      </w:r>
      <w:r w:rsidRPr="003103C7">
        <w:rPr>
          <w:spacing w:val="18"/>
        </w:rPr>
        <w:t xml:space="preserve"> </w:t>
      </w:r>
      <w:r w:rsidRPr="003103C7">
        <w:t>records</w:t>
      </w:r>
      <w:r w:rsidRPr="003103C7">
        <w:rPr>
          <w:spacing w:val="17"/>
        </w:rPr>
        <w:t xml:space="preserve"> </w:t>
      </w:r>
      <w:r w:rsidRPr="003103C7">
        <w:rPr>
          <w:spacing w:val="-5"/>
        </w:rPr>
        <w:t>is not</w:t>
      </w:r>
      <w:r w:rsidRPr="003103C7">
        <w:t xml:space="preserve"> possible. . . .</w:t>
      </w:r>
      <w:r w:rsidR="000031AC">
        <w:t>”</w:t>
      </w:r>
    </w:p>
    <w:p w14:paraId="3CDFC37D" w14:textId="4FA28E21" w:rsidR="004465A5" w:rsidRPr="003103C7" w:rsidRDefault="003103C7" w:rsidP="003103C7">
      <w:pPr>
        <w:pStyle w:val="BodyText"/>
        <w:numPr>
          <w:ilvl w:val="0"/>
          <w:numId w:val="17"/>
        </w:numPr>
        <w:spacing w:after="120"/>
        <w:ind w:left="1181" w:right="115"/>
        <w:jc w:val="both"/>
      </w:pPr>
      <w:r w:rsidRPr="003103C7">
        <w:lastRenderedPageBreak/>
        <w:t xml:space="preserve">At 2: </w:t>
      </w:r>
      <w:r w:rsidR="000031AC">
        <w:t>“</w:t>
      </w:r>
      <w:r w:rsidRPr="003103C7">
        <w:t>[W]</w:t>
      </w:r>
      <w:r w:rsidR="004465A5" w:rsidRPr="003103C7">
        <w:t>hy would it be necessary to look at the commercial bank records of [Island Appliances</w:t>
      </w:r>
      <w:r w:rsidR="00581D86">
        <w:t>,</w:t>
      </w:r>
      <w:r w:rsidR="004465A5" w:rsidRPr="003103C7">
        <w:t xml:space="preserve"> which is] no longer in business </w:t>
      </w:r>
      <w:r w:rsidR="009930B4">
        <w:t xml:space="preserve">[and] </w:t>
      </w:r>
      <w:r w:rsidR="004465A5" w:rsidRPr="003103C7">
        <w:t xml:space="preserve">which. . .did not </w:t>
      </w:r>
      <w:r w:rsidR="004465A5" w:rsidRPr="009930B4">
        <w:rPr>
          <w:i/>
          <w:iCs/>
          <w:u w:val="single"/>
        </w:rPr>
        <w:t>generate</w:t>
      </w:r>
      <w:r w:rsidR="004465A5" w:rsidRPr="003103C7">
        <w:t xml:space="preserve"> the money</w:t>
      </w:r>
      <w:r w:rsidR="004465A5" w:rsidRPr="003103C7">
        <w:rPr>
          <w:spacing w:val="-2"/>
        </w:rPr>
        <w:t xml:space="preserve"> </w:t>
      </w:r>
      <w:r w:rsidR="004465A5" w:rsidRPr="003103C7">
        <w:t>which</w:t>
      </w:r>
      <w:r w:rsidR="004465A5" w:rsidRPr="003103C7">
        <w:rPr>
          <w:spacing w:val="-1"/>
        </w:rPr>
        <w:t xml:space="preserve"> </w:t>
      </w:r>
      <w:r w:rsidR="004465A5" w:rsidRPr="003103C7">
        <w:t>is an issue in</w:t>
      </w:r>
      <w:r w:rsidR="004465A5" w:rsidRPr="003103C7">
        <w:rPr>
          <w:spacing w:val="-2"/>
        </w:rPr>
        <w:t xml:space="preserve"> </w:t>
      </w:r>
      <w:r w:rsidR="004465A5" w:rsidRPr="003103C7">
        <w:t>this case.</w:t>
      </w:r>
      <w:r w:rsidR="004465A5" w:rsidRPr="003103C7">
        <w:rPr>
          <w:spacing w:val="40"/>
        </w:rPr>
        <w:t xml:space="preserve"> </w:t>
      </w:r>
      <w:r w:rsidR="006F2130">
        <w:t xml:space="preserve">[Hamed and Sixteen Plus have] </w:t>
      </w:r>
      <w:r w:rsidR="004465A5" w:rsidRPr="003103C7">
        <w:t>the records</w:t>
      </w:r>
      <w:r w:rsidR="004465A5" w:rsidRPr="003103C7">
        <w:rPr>
          <w:spacing w:val="-2"/>
        </w:rPr>
        <w:t xml:space="preserve"> </w:t>
      </w:r>
      <w:r w:rsidR="004465A5" w:rsidRPr="003103C7">
        <w:t>and,</w:t>
      </w:r>
      <w:r w:rsidR="004465A5" w:rsidRPr="003103C7">
        <w:rPr>
          <w:spacing w:val="-4"/>
        </w:rPr>
        <w:t xml:space="preserve"> </w:t>
      </w:r>
      <w:r w:rsidR="004465A5" w:rsidRPr="003103C7">
        <w:t>therefore,</w:t>
      </w:r>
      <w:r w:rsidR="004465A5" w:rsidRPr="003103C7">
        <w:rPr>
          <w:spacing w:val="-1"/>
        </w:rPr>
        <w:t xml:space="preserve"> </w:t>
      </w:r>
      <w:r w:rsidR="004465A5" w:rsidRPr="003103C7">
        <w:t>they</w:t>
      </w:r>
      <w:r w:rsidR="004465A5" w:rsidRPr="003103C7">
        <w:rPr>
          <w:spacing w:val="-2"/>
        </w:rPr>
        <w:t xml:space="preserve"> </w:t>
      </w:r>
      <w:r w:rsidR="004465A5" w:rsidRPr="003103C7">
        <w:t>do</w:t>
      </w:r>
      <w:r w:rsidR="004465A5" w:rsidRPr="003103C7">
        <w:rPr>
          <w:spacing w:val="-1"/>
        </w:rPr>
        <w:t xml:space="preserve"> </w:t>
      </w:r>
      <w:r w:rsidR="004465A5" w:rsidRPr="003103C7">
        <w:t xml:space="preserve">not need an order from this Court to compel a meaningless search of bank records in St. </w:t>
      </w:r>
      <w:r w:rsidR="004465A5" w:rsidRPr="003103C7">
        <w:rPr>
          <w:spacing w:val="-2"/>
        </w:rPr>
        <w:t>Maarten.</w:t>
      </w:r>
      <w:r w:rsidR="000031AC">
        <w:rPr>
          <w:spacing w:val="-2"/>
        </w:rPr>
        <w:t>”</w:t>
      </w:r>
    </w:p>
    <w:p w14:paraId="4580C417" w14:textId="354B0A36" w:rsidR="004465A5" w:rsidRPr="003103C7" w:rsidRDefault="003103C7" w:rsidP="003103C7">
      <w:pPr>
        <w:pStyle w:val="BodyText"/>
        <w:numPr>
          <w:ilvl w:val="0"/>
          <w:numId w:val="17"/>
        </w:numPr>
        <w:spacing w:after="120"/>
        <w:ind w:left="1181" w:right="115"/>
        <w:jc w:val="both"/>
      </w:pPr>
      <w:r w:rsidRPr="003103C7">
        <w:t xml:space="preserve">At 3: </w:t>
      </w:r>
      <w:r w:rsidR="000031AC">
        <w:t>“</w:t>
      </w:r>
      <w:r w:rsidRPr="003103C7">
        <w:t>[</w:t>
      </w:r>
      <w:r w:rsidR="006F2130">
        <w:t xml:space="preserve">Hamed and </w:t>
      </w:r>
      <w:r w:rsidRPr="003103C7">
        <w:t>Sixteen Plus seek] to permit the police and prosecutors in St. Maarten to conduct this undertaking or to in any way be involved in a document production</w:t>
      </w:r>
      <w:r w:rsidRPr="003103C7">
        <w:rPr>
          <w:spacing w:val="35"/>
        </w:rPr>
        <w:t xml:space="preserve"> </w:t>
      </w:r>
      <w:r w:rsidRPr="003103C7">
        <w:t>in a civil lawsuit.</w:t>
      </w:r>
      <w:r w:rsidRPr="003103C7">
        <w:rPr>
          <w:spacing w:val="80"/>
        </w:rPr>
        <w:t xml:space="preserve"> </w:t>
      </w:r>
      <w:r w:rsidRPr="003103C7">
        <w:t xml:space="preserve">See </w:t>
      </w:r>
      <w:r w:rsidRPr="003103C7">
        <w:rPr>
          <w:b/>
        </w:rPr>
        <w:t>Exhibit A</w:t>
      </w:r>
      <w:r w:rsidRPr="003103C7">
        <w:t>, attached.</w:t>
      </w:r>
      <w:r w:rsidRPr="003103C7">
        <w:rPr>
          <w:spacing w:val="80"/>
        </w:rPr>
        <w:t xml:space="preserve"> </w:t>
      </w:r>
      <w:r w:rsidRPr="003103C7">
        <w:t>This request continues to be made despite denials that Sixteen Plus Corporation and its representatives and attorneys are threatening criminal prosecution as a means of advancing the issues in this litigation, which is a patently unethical means of prosecuting a lawsuit.</w:t>
      </w:r>
      <w:r w:rsidR="000031AC">
        <w:t>”</w:t>
      </w:r>
    </w:p>
    <w:p w14:paraId="41E0A04F" w14:textId="2ACC1EA3" w:rsidR="003103C7" w:rsidRDefault="003103C7" w:rsidP="000428EE">
      <w:pPr>
        <w:pStyle w:val="BodyText"/>
        <w:numPr>
          <w:ilvl w:val="0"/>
          <w:numId w:val="17"/>
        </w:numPr>
        <w:spacing w:before="92" w:after="120"/>
        <w:ind w:left="1181" w:right="115"/>
        <w:jc w:val="both"/>
      </w:pPr>
      <w:r w:rsidRPr="003103C7">
        <w:t xml:space="preserve">At 3-4: </w:t>
      </w:r>
      <w:r w:rsidR="000031AC">
        <w:t>“</w:t>
      </w:r>
      <w:r w:rsidR="0089735D">
        <w:t>F</w:t>
      </w:r>
      <w:r w:rsidRPr="003103C7">
        <w:t>ive years ago Isam Yousuf made his own requests to the bank for copies of records relevant to the issues in this litigation. He was eventually notified that the bank has no such records in its possession, and as a consequence he is unwilling, and should not be compelled, to execute an authorization for others to search for records which do not exist.</w:t>
      </w:r>
      <w:r w:rsidR="000031AC">
        <w:t>”</w:t>
      </w:r>
    </w:p>
    <w:p w14:paraId="2681E715" w14:textId="38B62D56" w:rsidR="00BC05EF" w:rsidRDefault="00BC05EF" w:rsidP="0089735D">
      <w:pPr>
        <w:pStyle w:val="BodyText"/>
        <w:numPr>
          <w:ilvl w:val="0"/>
          <w:numId w:val="17"/>
        </w:numPr>
        <w:ind w:left="1181" w:right="115"/>
        <w:jc w:val="both"/>
      </w:pPr>
      <w:r w:rsidRPr="003103C7">
        <w:t>At</w:t>
      </w:r>
      <w:r w:rsidR="00212EA8">
        <w:t xml:space="preserve"> </w:t>
      </w:r>
      <w:r w:rsidRPr="003103C7">
        <w:t>2</w:t>
      </w:r>
      <w:r w:rsidR="00212EA8">
        <w:t xml:space="preserve">: </w:t>
      </w:r>
      <w:r>
        <w:t xml:space="preserve">[addressed in </w:t>
      </w:r>
      <w:r w:rsidRPr="003103C7">
        <w:rPr>
          <w:i/>
          <w:iCs/>
        </w:rPr>
        <w:t>Section I</w:t>
      </w:r>
      <w:r w:rsidR="003065FE">
        <w:rPr>
          <w:i/>
          <w:iCs/>
        </w:rPr>
        <w:t>II</w:t>
      </w:r>
      <w:r>
        <w:t xml:space="preserve"> below</w:t>
      </w:r>
      <w:r w:rsidR="003065FE">
        <w:t>]</w:t>
      </w:r>
      <w:r w:rsidRPr="003103C7">
        <w:t>: “[Sixteen Plus’] principals fraudulently, criminally, and illegally skimmed money from the Plaza Extra Supermarkets in St. Croix to avoid the payment of</w:t>
      </w:r>
      <w:r w:rsidR="00AC136A">
        <w:t xml:space="preserve"> taxes</w:t>
      </w:r>
      <w:r w:rsidRPr="003103C7">
        <w:t>. . . .</w:t>
      </w:r>
      <w:r w:rsidRPr="003103C7">
        <w:rPr>
          <w:spacing w:val="40"/>
        </w:rPr>
        <w:t xml:space="preserve"> </w:t>
      </w:r>
      <w:r w:rsidRPr="003103C7">
        <w:t>It is alleged that these same fruits of an illegal criminal enterprise were in fact used to purchase the Diamond Keturah property, and that the Note and Mortgage given to Manal Yousef by the Sixteen Plus Corporation is a sham</w:t>
      </w:r>
      <w:r w:rsidRPr="003103C7">
        <w:rPr>
          <w:spacing w:val="-1"/>
        </w:rPr>
        <w:t xml:space="preserve"> </w:t>
      </w:r>
      <w:r w:rsidRPr="003103C7">
        <w:t>and</w:t>
      </w:r>
      <w:r w:rsidRPr="003103C7">
        <w:rPr>
          <w:spacing w:val="-1"/>
        </w:rPr>
        <w:t xml:space="preserve"> </w:t>
      </w:r>
      <w:r w:rsidRPr="003103C7">
        <w:t>therefore</w:t>
      </w:r>
      <w:r w:rsidRPr="003103C7">
        <w:rPr>
          <w:spacing w:val="-2"/>
        </w:rPr>
        <w:t xml:space="preserve"> </w:t>
      </w:r>
      <w:r w:rsidRPr="003103C7">
        <w:t>null</w:t>
      </w:r>
      <w:r w:rsidRPr="003103C7">
        <w:rPr>
          <w:spacing w:val="-1"/>
        </w:rPr>
        <w:t xml:space="preserve"> </w:t>
      </w:r>
      <w:r w:rsidRPr="003103C7">
        <w:t>and</w:t>
      </w:r>
      <w:r w:rsidRPr="003103C7">
        <w:rPr>
          <w:spacing w:val="-1"/>
        </w:rPr>
        <w:t xml:space="preserve"> </w:t>
      </w:r>
      <w:r w:rsidRPr="003103C7">
        <w:t>void.</w:t>
      </w:r>
      <w:r w:rsidR="003065FE">
        <w:t>. . . .</w:t>
      </w:r>
      <w:r w:rsidRPr="003103C7">
        <w:t>The Sixteen Plus Corporation and its representatives</w:t>
      </w:r>
      <w:r w:rsidRPr="003103C7">
        <w:rPr>
          <w:spacing w:val="40"/>
        </w:rPr>
        <w:t xml:space="preserve"> </w:t>
      </w:r>
      <w:r w:rsidRPr="003103C7">
        <w:t>and attorneys are seeking to benefit from the past criminal activity of the Corporation and its principals which would make a mockery of the doctrine of unclean hands.”</w:t>
      </w:r>
    </w:p>
    <w:p w14:paraId="12C7D6EB" w14:textId="77777777" w:rsidR="0089735D" w:rsidRPr="0089735D" w:rsidRDefault="0089735D" w:rsidP="0089735D">
      <w:pPr>
        <w:pStyle w:val="BodyText"/>
        <w:spacing w:after="120"/>
        <w:ind w:left="1179" w:right="114"/>
        <w:jc w:val="both"/>
        <w:rPr>
          <w:sz w:val="12"/>
          <w:szCs w:val="12"/>
        </w:rPr>
      </w:pPr>
    </w:p>
    <w:p w14:paraId="40CC8BC2" w14:textId="6085575C" w:rsidR="005A14BF" w:rsidRPr="008A16CD" w:rsidRDefault="005A14BF" w:rsidP="0089735D">
      <w:pPr>
        <w:pStyle w:val="BodyText"/>
        <w:numPr>
          <w:ilvl w:val="0"/>
          <w:numId w:val="18"/>
        </w:numPr>
        <w:ind w:right="115"/>
        <w:jc w:val="both"/>
        <w:rPr>
          <w:b/>
          <w:bCs/>
        </w:rPr>
      </w:pPr>
      <w:r w:rsidRPr="008A16CD">
        <w:rPr>
          <w:b/>
          <w:bCs/>
        </w:rPr>
        <w:t xml:space="preserve">Isam’s </w:t>
      </w:r>
      <w:r w:rsidR="000031AC">
        <w:rPr>
          <w:b/>
          <w:bCs/>
        </w:rPr>
        <w:t>1</w:t>
      </w:r>
      <w:r w:rsidR="000031AC" w:rsidRPr="000031AC">
        <w:rPr>
          <w:b/>
          <w:bCs/>
          <w:vertAlign w:val="superscript"/>
        </w:rPr>
        <w:t>st</w:t>
      </w:r>
      <w:r w:rsidR="000031AC">
        <w:rPr>
          <w:b/>
          <w:bCs/>
        </w:rPr>
        <w:t xml:space="preserve"> </w:t>
      </w:r>
      <w:r w:rsidR="00467FBC">
        <w:rPr>
          <w:b/>
          <w:bCs/>
        </w:rPr>
        <w:t>point</w:t>
      </w:r>
      <w:r w:rsidR="000031AC">
        <w:rPr>
          <w:b/>
          <w:bCs/>
        </w:rPr>
        <w:t>,</w:t>
      </w:r>
      <w:r w:rsidRPr="008A16CD">
        <w:rPr>
          <w:b/>
          <w:bCs/>
        </w:rPr>
        <w:t xml:space="preserve"> </w:t>
      </w:r>
      <w:r w:rsidR="0083486A">
        <w:rPr>
          <w:b/>
          <w:bCs/>
        </w:rPr>
        <w:t xml:space="preserve">at 1-2, </w:t>
      </w:r>
      <w:r w:rsidRPr="008A16CD">
        <w:rPr>
          <w:b/>
          <w:bCs/>
        </w:rPr>
        <w:t xml:space="preserve">that “the business in question is no longer in </w:t>
      </w:r>
      <w:r w:rsidR="004A4798" w:rsidRPr="008A16CD">
        <w:rPr>
          <w:b/>
          <w:bCs/>
        </w:rPr>
        <w:t>operation and</w:t>
      </w:r>
      <w:r w:rsidRPr="008A16CD">
        <w:rPr>
          <w:b/>
          <w:bCs/>
        </w:rPr>
        <w:t xml:space="preserve"> has not been</w:t>
      </w:r>
      <w:r w:rsidRPr="008A16CD">
        <w:rPr>
          <w:b/>
          <w:bCs/>
          <w:spacing w:val="16"/>
        </w:rPr>
        <w:t xml:space="preserve"> </w:t>
      </w:r>
      <w:r w:rsidRPr="008A16CD">
        <w:rPr>
          <w:b/>
          <w:bCs/>
        </w:rPr>
        <w:t>for</w:t>
      </w:r>
      <w:r w:rsidRPr="008A16CD">
        <w:rPr>
          <w:b/>
          <w:bCs/>
          <w:spacing w:val="14"/>
        </w:rPr>
        <w:t xml:space="preserve"> </w:t>
      </w:r>
      <w:r w:rsidRPr="008A16CD">
        <w:rPr>
          <w:b/>
          <w:bCs/>
        </w:rPr>
        <w:t>more</w:t>
      </w:r>
      <w:r w:rsidRPr="008A16CD">
        <w:rPr>
          <w:b/>
          <w:bCs/>
          <w:spacing w:val="17"/>
        </w:rPr>
        <w:t xml:space="preserve"> </w:t>
      </w:r>
      <w:r w:rsidRPr="008A16CD">
        <w:rPr>
          <w:b/>
          <w:bCs/>
        </w:rPr>
        <w:t>than</w:t>
      </w:r>
      <w:r w:rsidRPr="008A16CD">
        <w:rPr>
          <w:b/>
          <w:bCs/>
          <w:spacing w:val="17"/>
        </w:rPr>
        <w:t xml:space="preserve"> </w:t>
      </w:r>
      <w:r w:rsidRPr="008A16CD">
        <w:rPr>
          <w:b/>
          <w:bCs/>
        </w:rPr>
        <w:t>twenty</w:t>
      </w:r>
      <w:r w:rsidRPr="008A16CD">
        <w:rPr>
          <w:b/>
          <w:bCs/>
          <w:spacing w:val="18"/>
        </w:rPr>
        <w:t xml:space="preserve"> </w:t>
      </w:r>
      <w:r w:rsidRPr="008A16CD">
        <w:rPr>
          <w:b/>
          <w:bCs/>
        </w:rPr>
        <w:t>(20)</w:t>
      </w:r>
      <w:r w:rsidRPr="008A16CD">
        <w:rPr>
          <w:b/>
          <w:bCs/>
          <w:spacing w:val="16"/>
        </w:rPr>
        <w:t xml:space="preserve"> </w:t>
      </w:r>
      <w:r w:rsidRPr="008A16CD">
        <w:rPr>
          <w:b/>
          <w:bCs/>
        </w:rPr>
        <w:t>years,</w:t>
      </w:r>
      <w:r w:rsidRPr="008A16CD">
        <w:rPr>
          <w:b/>
          <w:bCs/>
          <w:spacing w:val="18"/>
        </w:rPr>
        <w:t xml:space="preserve"> </w:t>
      </w:r>
      <w:r w:rsidRPr="008A16CD">
        <w:rPr>
          <w:b/>
          <w:bCs/>
        </w:rPr>
        <w:t>which</w:t>
      </w:r>
      <w:r w:rsidRPr="008A16CD">
        <w:rPr>
          <w:b/>
          <w:bCs/>
          <w:spacing w:val="16"/>
        </w:rPr>
        <w:t xml:space="preserve"> </w:t>
      </w:r>
      <w:r w:rsidRPr="008A16CD">
        <w:rPr>
          <w:b/>
          <w:bCs/>
        </w:rPr>
        <w:t>explains</w:t>
      </w:r>
      <w:r w:rsidRPr="008A16CD">
        <w:rPr>
          <w:b/>
          <w:bCs/>
          <w:spacing w:val="17"/>
        </w:rPr>
        <w:t xml:space="preserve"> </w:t>
      </w:r>
      <w:r w:rsidRPr="008A16CD">
        <w:rPr>
          <w:b/>
          <w:bCs/>
        </w:rPr>
        <w:t>why</w:t>
      </w:r>
      <w:r w:rsidRPr="008A16CD">
        <w:rPr>
          <w:b/>
          <w:bCs/>
          <w:spacing w:val="15"/>
        </w:rPr>
        <w:t xml:space="preserve"> </w:t>
      </w:r>
      <w:r w:rsidRPr="008A16CD">
        <w:rPr>
          <w:b/>
          <w:bCs/>
        </w:rPr>
        <w:t>production</w:t>
      </w:r>
      <w:r w:rsidRPr="008A16CD">
        <w:rPr>
          <w:b/>
          <w:bCs/>
          <w:spacing w:val="18"/>
        </w:rPr>
        <w:t xml:space="preserve"> </w:t>
      </w:r>
      <w:r w:rsidRPr="008A16CD">
        <w:rPr>
          <w:b/>
          <w:bCs/>
        </w:rPr>
        <w:t>of</w:t>
      </w:r>
      <w:r w:rsidRPr="008A16CD">
        <w:rPr>
          <w:b/>
          <w:bCs/>
          <w:spacing w:val="15"/>
        </w:rPr>
        <w:t xml:space="preserve"> </w:t>
      </w:r>
      <w:r w:rsidRPr="008A16CD">
        <w:rPr>
          <w:b/>
          <w:bCs/>
        </w:rPr>
        <w:t>the</w:t>
      </w:r>
      <w:r w:rsidRPr="008A16CD">
        <w:rPr>
          <w:b/>
          <w:bCs/>
          <w:spacing w:val="18"/>
        </w:rPr>
        <w:t xml:space="preserve"> </w:t>
      </w:r>
      <w:r w:rsidRPr="008A16CD">
        <w:rPr>
          <w:b/>
          <w:bCs/>
        </w:rPr>
        <w:t>records</w:t>
      </w:r>
      <w:r w:rsidRPr="008A16CD">
        <w:rPr>
          <w:b/>
          <w:bCs/>
          <w:spacing w:val="17"/>
        </w:rPr>
        <w:t xml:space="preserve"> </w:t>
      </w:r>
      <w:r w:rsidRPr="008A16CD">
        <w:rPr>
          <w:b/>
          <w:bCs/>
          <w:spacing w:val="-5"/>
        </w:rPr>
        <w:t>is not</w:t>
      </w:r>
      <w:r w:rsidRPr="008A16CD">
        <w:rPr>
          <w:b/>
          <w:bCs/>
        </w:rPr>
        <w:t xml:space="preserve"> possible.”</w:t>
      </w:r>
    </w:p>
    <w:p w14:paraId="187F26F6" w14:textId="77777777" w:rsidR="00D16813" w:rsidRPr="0089735D" w:rsidRDefault="00D16813" w:rsidP="00D16813">
      <w:pPr>
        <w:pStyle w:val="BodyText"/>
        <w:spacing w:before="92"/>
        <w:ind w:left="1080" w:right="114"/>
        <w:jc w:val="both"/>
        <w:rPr>
          <w:sz w:val="8"/>
          <w:szCs w:val="8"/>
        </w:rPr>
      </w:pPr>
    </w:p>
    <w:p w14:paraId="3CA93BDF" w14:textId="53D55B8D" w:rsidR="00CC76DD" w:rsidRDefault="005A14BF" w:rsidP="005A14BF">
      <w:pPr>
        <w:pStyle w:val="BodyText"/>
        <w:widowControl/>
        <w:spacing w:line="480" w:lineRule="auto"/>
        <w:ind w:firstLine="720"/>
        <w:jc w:val="both"/>
        <w:outlineLvl w:val="0"/>
      </w:pPr>
      <w:r>
        <w:t xml:space="preserve">As noted in the </w:t>
      </w:r>
      <w:r w:rsidR="00180F1A">
        <w:t>Motion</w:t>
      </w:r>
      <w:r>
        <w:t>, Isam has refused to provide any information about Island Appliances</w:t>
      </w:r>
      <w:r w:rsidR="00CC76DD">
        <w:t xml:space="preserve">, its ownership, </w:t>
      </w:r>
      <w:r w:rsidR="0083486A">
        <w:t xml:space="preserve">its documents, </w:t>
      </w:r>
      <w:r w:rsidR="00CC76DD">
        <w:t>or its finances</w:t>
      </w:r>
      <w:r w:rsidR="0089735D">
        <w:t>.</w:t>
      </w:r>
      <w:r w:rsidR="00CC76DD">
        <w:t xml:space="preserve"> </w:t>
      </w:r>
      <w:r w:rsidR="00357730" w:rsidRPr="00357730">
        <w:rPr>
          <w:i/>
          <w:iCs/>
        </w:rPr>
        <w:t>See</w:t>
      </w:r>
      <w:r w:rsidR="00357730">
        <w:t xml:space="preserve"> </w:t>
      </w:r>
      <w:r w:rsidR="00CC76DD">
        <w:t>Motion at footnote 4</w:t>
      </w:r>
      <w:r w:rsidR="0089735D">
        <w:t>.</w:t>
      </w:r>
      <w:r w:rsidR="00CC76DD">
        <w:rPr>
          <w:rStyle w:val="FootnoteReference"/>
        </w:rPr>
        <w:footnoteReference w:id="2"/>
      </w:r>
    </w:p>
    <w:p w14:paraId="50CF83D5" w14:textId="1D76FC34" w:rsidR="00D16813" w:rsidRDefault="00CC76DD" w:rsidP="00CC76DD">
      <w:pPr>
        <w:pStyle w:val="BodyText"/>
        <w:widowControl/>
        <w:ind w:left="720" w:right="720"/>
        <w:jc w:val="both"/>
        <w:outlineLvl w:val="0"/>
      </w:pPr>
      <w:r w:rsidRPr="00CC76DD">
        <w:t>See p. 2 of the November 7, 2022 Hymes letter discussed herein. Exhibit 1. (“A description of the rate of pay of Isam, and his percentage of stock ownership in Island Appliances will not be provided as this information is totally irrelevant to any litigation.”)</w:t>
      </w:r>
      <w:r w:rsidR="003065FE">
        <w:t xml:space="preserve"> </w:t>
      </w:r>
    </w:p>
    <w:p w14:paraId="7955E017" w14:textId="05A44F8B" w:rsidR="00CC76DD" w:rsidRDefault="00CC76DD" w:rsidP="00CC76DD">
      <w:pPr>
        <w:pStyle w:val="BodyText"/>
        <w:widowControl/>
        <w:ind w:left="720" w:right="720"/>
        <w:jc w:val="both"/>
        <w:outlineLvl w:val="0"/>
        <w:rPr>
          <w:sz w:val="16"/>
          <w:szCs w:val="16"/>
        </w:rPr>
      </w:pPr>
    </w:p>
    <w:p w14:paraId="0B8C429E" w14:textId="77777777" w:rsidR="000A7D63" w:rsidRPr="000B2D36" w:rsidRDefault="000A7D63" w:rsidP="00CC76DD">
      <w:pPr>
        <w:pStyle w:val="BodyText"/>
        <w:widowControl/>
        <w:ind w:left="720" w:right="720"/>
        <w:jc w:val="both"/>
        <w:outlineLvl w:val="0"/>
        <w:rPr>
          <w:sz w:val="16"/>
          <w:szCs w:val="16"/>
        </w:rPr>
      </w:pPr>
    </w:p>
    <w:p w14:paraId="2992C3C4" w14:textId="2B655791" w:rsidR="00CC76DD" w:rsidRDefault="003065FE" w:rsidP="000B2D36">
      <w:pPr>
        <w:pStyle w:val="BodyText"/>
        <w:widowControl/>
        <w:jc w:val="both"/>
        <w:outlineLvl w:val="0"/>
      </w:pPr>
      <w:r>
        <w:lastRenderedPageBreak/>
        <w:t>A</w:t>
      </w:r>
      <w:r w:rsidR="004A4798" w:rsidRPr="00CC76DD">
        <w:t>nd</w:t>
      </w:r>
      <w:r>
        <w:t>, at</w:t>
      </w:r>
      <w:r w:rsidR="00CC76DD">
        <w:t xml:space="preserve"> footnote 2</w:t>
      </w:r>
      <w:r>
        <w:t>:</w:t>
      </w:r>
    </w:p>
    <w:p w14:paraId="2E6DBB38" w14:textId="77777777" w:rsidR="000B2D36" w:rsidRPr="000B2D36" w:rsidRDefault="000B2D36" w:rsidP="000B2D36">
      <w:pPr>
        <w:pStyle w:val="BodyText"/>
        <w:widowControl/>
        <w:jc w:val="both"/>
        <w:outlineLvl w:val="0"/>
        <w:rPr>
          <w:sz w:val="16"/>
          <w:szCs w:val="16"/>
        </w:rPr>
      </w:pPr>
    </w:p>
    <w:p w14:paraId="3A32D4BA" w14:textId="4178FB59" w:rsidR="00CC76DD" w:rsidRDefault="00581D86" w:rsidP="00CC76DD">
      <w:pPr>
        <w:pStyle w:val="BodyText"/>
        <w:widowControl/>
        <w:ind w:left="720" w:right="720"/>
        <w:jc w:val="both"/>
        <w:outlineLvl w:val="0"/>
      </w:pPr>
      <w:r>
        <w:t>‘</w:t>
      </w:r>
      <w:r w:rsidR="00CC76DD" w:rsidRPr="00CC76DD">
        <w:t>Access to the financial records of Island Appliances and my clients will not be granted,</w:t>
      </w:r>
      <w:r>
        <w:t>’</w:t>
      </w:r>
      <w:r w:rsidR="00CC76DD" w:rsidRPr="00CC76DD">
        <w:t xml:space="preserve"> and </w:t>
      </w:r>
      <w:r>
        <w:t>‘</w:t>
      </w:r>
      <w:r w:rsidR="00CC76DD" w:rsidRPr="00CC76DD">
        <w:t>[y]ou have asked for a description of all foreign bank accounts in his [Isam’s] name during the period 1995 to 2000. Once again, this is irrelevant to any issue related to this case and will not be provided.</w:t>
      </w:r>
      <w:r>
        <w:t>’</w:t>
      </w:r>
    </w:p>
    <w:p w14:paraId="7468824A" w14:textId="77777777" w:rsidR="00F226EC" w:rsidRPr="000B2D36" w:rsidRDefault="00F226EC" w:rsidP="00CC76DD">
      <w:pPr>
        <w:pStyle w:val="BodyText"/>
        <w:widowControl/>
        <w:ind w:left="720" w:right="720"/>
        <w:jc w:val="both"/>
        <w:outlineLvl w:val="0"/>
        <w:rPr>
          <w:sz w:val="16"/>
          <w:szCs w:val="16"/>
        </w:rPr>
      </w:pPr>
    </w:p>
    <w:p w14:paraId="520E70F7" w14:textId="204AC389" w:rsidR="005A14BF" w:rsidRDefault="00CC76DD" w:rsidP="008A16CD">
      <w:pPr>
        <w:pStyle w:val="BodyText"/>
        <w:widowControl/>
        <w:spacing w:line="480" w:lineRule="auto"/>
        <w:ind w:firstLine="720"/>
        <w:jc w:val="both"/>
        <w:outlineLvl w:val="0"/>
      </w:pPr>
      <w:r>
        <w:t xml:space="preserve">While refusing discovery responses </w:t>
      </w:r>
      <w:r w:rsidR="000428EE">
        <w:t>about Isl</w:t>
      </w:r>
      <w:r>
        <w:t>and</w:t>
      </w:r>
      <w:r w:rsidR="000428EE">
        <w:t xml:space="preserve"> A</w:t>
      </w:r>
      <w:r w:rsidR="005434E0">
        <w:t>ppliances</w:t>
      </w:r>
      <w:r w:rsidR="006F2130">
        <w:t xml:space="preserve"> and </w:t>
      </w:r>
      <w:r>
        <w:t xml:space="preserve">alleging irrelevance </w:t>
      </w:r>
      <w:r w:rsidR="00F226EC">
        <w:t>as the basis for that refusal</w:t>
      </w:r>
      <w:r>
        <w:t xml:space="preserve">, Isam </w:t>
      </w:r>
      <w:r w:rsidR="00F226EC">
        <w:t>now</w:t>
      </w:r>
      <w:r>
        <w:t xml:space="preserve"> pivots to use those exact </w:t>
      </w:r>
      <w:r w:rsidR="0089735D">
        <w:t>‘</w:t>
      </w:r>
      <w:r>
        <w:t>entity details</w:t>
      </w:r>
      <w:r w:rsidR="0089735D">
        <w:t>’</w:t>
      </w:r>
      <w:r>
        <w:t xml:space="preserve"> in </w:t>
      </w:r>
      <w:r w:rsidR="006F2130">
        <w:t>his</w:t>
      </w:r>
      <w:r>
        <w:t xml:space="preserve"> opposition. </w:t>
      </w:r>
      <w:r w:rsidR="003129DA">
        <w:t>Mo</w:t>
      </w:r>
      <w:r w:rsidR="00212EA8">
        <w:t>re</w:t>
      </w:r>
      <w:r>
        <w:t xml:space="preserve"> disappoint</w:t>
      </w:r>
      <w:r w:rsidR="00F226EC">
        <w:t>ing</w:t>
      </w:r>
      <w:r>
        <w:t xml:space="preserve"> is </w:t>
      </w:r>
      <w:r w:rsidR="003065FE">
        <w:t xml:space="preserve">that </w:t>
      </w:r>
      <w:r w:rsidR="009930B4">
        <w:t xml:space="preserve">even now </w:t>
      </w:r>
      <w:r>
        <w:t>Isam</w:t>
      </w:r>
      <w:r w:rsidR="005A14BF">
        <w:t xml:space="preserve"> attaches no </w:t>
      </w:r>
      <w:r w:rsidR="005A14BF" w:rsidRPr="00F226EC">
        <w:rPr>
          <w:i/>
          <w:iCs/>
        </w:rPr>
        <w:t>declaration</w:t>
      </w:r>
      <w:r w:rsidR="005A14BF">
        <w:t xml:space="preserve"> in support of these </w:t>
      </w:r>
      <w:r w:rsidR="005434E0">
        <w:t>‘</w:t>
      </w:r>
      <w:proofErr w:type="gramStart"/>
      <w:r w:rsidR="005A14BF">
        <w:t>facts</w:t>
      </w:r>
      <w:r w:rsidR="005434E0">
        <w:t>’</w:t>
      </w:r>
      <w:proofErr w:type="gramEnd"/>
      <w:r w:rsidR="005A14BF">
        <w:t xml:space="preserve">. </w:t>
      </w:r>
      <w:r w:rsidR="005434E0">
        <w:t xml:space="preserve">Nor does he </w:t>
      </w:r>
      <w:r w:rsidR="005A14BF">
        <w:t xml:space="preserve">attach </w:t>
      </w:r>
      <w:r w:rsidR="005A14BF" w:rsidRPr="00F226EC">
        <w:rPr>
          <w:i/>
          <w:iCs/>
        </w:rPr>
        <w:t>exhibits</w:t>
      </w:r>
      <w:r w:rsidR="005A14BF">
        <w:t xml:space="preserve"> in support</w:t>
      </w:r>
      <w:r w:rsidR="00212EA8">
        <w:t>.</w:t>
      </w:r>
      <w:r w:rsidR="005A14BF">
        <w:t xml:space="preserve"> </w:t>
      </w:r>
      <w:r w:rsidR="00357730">
        <w:t>Instead, h</w:t>
      </w:r>
      <w:r w:rsidR="00212EA8">
        <w:t>e presents</w:t>
      </w:r>
      <w:r w:rsidR="009930B4">
        <w:t xml:space="preserve"> bare</w:t>
      </w:r>
      <w:r w:rsidR="008A16CD">
        <w:t xml:space="preserve"> testimony by counsel</w:t>
      </w:r>
      <w:r w:rsidR="00212EA8">
        <w:t>.</w:t>
      </w:r>
      <w:r w:rsidR="008A16CD">
        <w:t xml:space="preserve"> </w:t>
      </w:r>
      <w:r w:rsidR="005A14BF">
        <w:t xml:space="preserve">Finally, </w:t>
      </w:r>
      <w:r w:rsidR="005434E0">
        <w:t>his position</w:t>
      </w:r>
      <w:r w:rsidR="005A14BF">
        <w:t xml:space="preserve"> is a </w:t>
      </w:r>
      <w:r w:rsidR="005A14BF" w:rsidRPr="00F226EC">
        <w:rPr>
          <w:i/>
          <w:iCs/>
        </w:rPr>
        <w:t>non sequitur</w:t>
      </w:r>
      <w:r w:rsidR="005A14BF">
        <w:t>.</w:t>
      </w:r>
      <w:r w:rsidR="003065FE">
        <w:t xml:space="preserve"> </w:t>
      </w:r>
      <w:r w:rsidR="008A16CD">
        <w:t>A</w:t>
      </w:r>
      <w:r w:rsidR="00835828">
        <w:t xml:space="preserve">s shown in the </w:t>
      </w:r>
      <w:r w:rsidR="00180F1A">
        <w:t>Motion</w:t>
      </w:r>
      <w:r w:rsidR="00797AEA">
        <w:t>:</w:t>
      </w:r>
      <w:r w:rsidR="00835828">
        <w:t xml:space="preserve"> </w:t>
      </w:r>
      <w:r w:rsidR="00962401">
        <w:t xml:space="preserve">     </w:t>
      </w:r>
      <w:r w:rsidR="00835828">
        <w:t xml:space="preserve">(1) Island Appliances was </w:t>
      </w:r>
      <w:r w:rsidR="00D16813">
        <w:t xml:space="preserve">simply </w:t>
      </w:r>
      <w:r w:rsidR="00961E56">
        <w:t>a</w:t>
      </w:r>
      <w:r w:rsidR="00835828">
        <w:t xml:space="preserve"> </w:t>
      </w:r>
      <w:r w:rsidR="00835828" w:rsidRPr="009930B4">
        <w:rPr>
          <w:i/>
          <w:iCs/>
          <w:u w:val="single"/>
        </w:rPr>
        <w:t>trade name</w:t>
      </w:r>
      <w:r w:rsidR="00835828">
        <w:t xml:space="preserve"> </w:t>
      </w:r>
      <w:r w:rsidR="00961E56">
        <w:t xml:space="preserve">listed </w:t>
      </w:r>
      <w:r w:rsidR="00D16813">
        <w:t xml:space="preserve">on Isam’s </w:t>
      </w:r>
      <w:r w:rsidR="00D16813" w:rsidRPr="00961E56">
        <w:rPr>
          <w:i/>
          <w:iCs/>
          <w:u w:val="single"/>
        </w:rPr>
        <w:t>personal</w:t>
      </w:r>
      <w:r w:rsidR="00D16813">
        <w:t xml:space="preserve"> </w:t>
      </w:r>
      <w:r w:rsidR="00961E56">
        <w:t xml:space="preserve">bank </w:t>
      </w:r>
      <w:r w:rsidR="00835828">
        <w:t>account</w:t>
      </w:r>
      <w:r w:rsidR="009930B4">
        <w:t>s</w:t>
      </w:r>
      <w:r w:rsidR="00961E56">
        <w:t>—</w:t>
      </w:r>
      <w:r w:rsidR="00494701">
        <w:t xml:space="preserve">those </w:t>
      </w:r>
      <w:r w:rsidR="00F226EC">
        <w:t>he used</w:t>
      </w:r>
      <w:r w:rsidR="00D16813">
        <w:t xml:space="preserve"> to transfer </w:t>
      </w:r>
      <w:r w:rsidR="00835828">
        <w:t>the funds in question to Sixteen Plus.</w:t>
      </w:r>
      <w:r w:rsidR="00D16813">
        <w:rPr>
          <w:rStyle w:val="FootnoteReference"/>
        </w:rPr>
        <w:footnoteReference w:id="3"/>
      </w:r>
      <w:r w:rsidR="00835828">
        <w:t xml:space="preserve"> </w:t>
      </w:r>
      <w:r w:rsidR="009930B4">
        <w:t xml:space="preserve">(2) </w:t>
      </w:r>
      <w:r w:rsidR="0089735D">
        <w:t>A</w:t>
      </w:r>
      <w:r w:rsidR="009930B4">
        <w:t xml:space="preserve">ll of the </w:t>
      </w:r>
      <w:r w:rsidR="0089735D">
        <w:t xml:space="preserve">account </w:t>
      </w:r>
      <w:r w:rsidR="009930B4">
        <w:t xml:space="preserve">opening documents were Isam’s personal </w:t>
      </w:r>
      <w:r w:rsidR="00687FFD">
        <w:t>papers</w:t>
      </w:r>
      <w:r w:rsidR="009930B4">
        <w:t xml:space="preserve">, none were </w:t>
      </w:r>
      <w:r w:rsidR="0089735D">
        <w:t>corporate documents</w:t>
      </w:r>
      <w:r w:rsidR="009930B4">
        <w:t xml:space="preserve"> of Island Appliances. </w:t>
      </w:r>
      <w:r w:rsidR="00687FFD">
        <w:t xml:space="preserve">(3) </w:t>
      </w:r>
      <w:r w:rsidR="00961E56">
        <w:t>Two French investigations confirmed this information from bank records.</w:t>
      </w:r>
      <w:r w:rsidR="00687FFD">
        <w:t xml:space="preserve"> </w:t>
      </w:r>
      <w:r w:rsidR="00835828">
        <w:t xml:space="preserve">Thus, Isam’s refusal to answer the discovery questions about </w:t>
      </w:r>
      <w:r w:rsidR="009930B4" w:rsidRPr="00467FBC">
        <w:rPr>
          <w:i/>
          <w:iCs/>
        </w:rPr>
        <w:t>his own</w:t>
      </w:r>
      <w:r w:rsidR="00687FFD">
        <w:t xml:space="preserve">, personal </w:t>
      </w:r>
      <w:r w:rsidR="009930B4">
        <w:t>accounts i</w:t>
      </w:r>
      <w:r w:rsidR="00835828">
        <w:t xml:space="preserve">s </w:t>
      </w:r>
      <w:r w:rsidR="00266F9A">
        <w:t>improper</w:t>
      </w:r>
      <w:r w:rsidR="00835828">
        <w:t xml:space="preserve">. </w:t>
      </w:r>
      <w:r w:rsidR="00467FBC">
        <w:t>There isn’t</w:t>
      </w:r>
      <w:r w:rsidR="00835828">
        <w:t xml:space="preserve"> a single document, </w:t>
      </w:r>
      <w:r w:rsidR="004A4798">
        <w:t>record,</w:t>
      </w:r>
      <w:r w:rsidR="00835828">
        <w:t xml:space="preserve"> or declaration as to:</w:t>
      </w:r>
    </w:p>
    <w:p w14:paraId="60D68850" w14:textId="18C4D7A8" w:rsidR="00835828" w:rsidRDefault="00835828" w:rsidP="00D16813">
      <w:pPr>
        <w:pStyle w:val="BodyText"/>
        <w:widowControl/>
        <w:numPr>
          <w:ilvl w:val="0"/>
          <w:numId w:val="20"/>
        </w:numPr>
        <w:jc w:val="both"/>
        <w:outlineLvl w:val="0"/>
      </w:pPr>
      <w:r>
        <w:t xml:space="preserve">Whether </w:t>
      </w:r>
      <w:r w:rsidR="005434E0">
        <w:t>Island Appliances</w:t>
      </w:r>
      <w:r>
        <w:t xml:space="preserve"> is actually a</w:t>
      </w:r>
      <w:r w:rsidR="00961E56">
        <w:t xml:space="preserve"> distinct</w:t>
      </w:r>
      <w:r w:rsidR="005434E0">
        <w:t xml:space="preserve"> </w:t>
      </w:r>
      <w:r>
        <w:t>entity</w:t>
      </w:r>
      <w:r w:rsidR="005434E0">
        <w:t>, separate from Isam’s use of the name</w:t>
      </w:r>
      <w:r>
        <w:t>.</w:t>
      </w:r>
      <w:r w:rsidR="00D16813">
        <w:rPr>
          <w:rStyle w:val="FootnoteReference"/>
        </w:rPr>
        <w:footnoteReference w:id="4"/>
      </w:r>
    </w:p>
    <w:p w14:paraId="2BF1934A" w14:textId="1869B54D" w:rsidR="00835828" w:rsidRDefault="00835828" w:rsidP="00D16813">
      <w:pPr>
        <w:pStyle w:val="BodyText"/>
        <w:widowControl/>
        <w:numPr>
          <w:ilvl w:val="0"/>
          <w:numId w:val="20"/>
        </w:numPr>
        <w:jc w:val="both"/>
        <w:outlineLvl w:val="0"/>
      </w:pPr>
      <w:r>
        <w:t xml:space="preserve">If it is an entity, what sort </w:t>
      </w:r>
      <w:r w:rsidR="00134ADD">
        <w:t>it is</w:t>
      </w:r>
      <w:r>
        <w:t>—corporation, limited partnership, etc</w:t>
      </w:r>
      <w:r w:rsidR="006F2130">
        <w:t>.</w:t>
      </w:r>
      <w:r w:rsidR="001C75D3">
        <w:t xml:space="preserve">; along with </w:t>
      </w:r>
      <w:r>
        <w:t>the shareholders, limited partners, etc</w:t>
      </w:r>
      <w:r w:rsidR="00D16813">
        <w:t xml:space="preserve">., </w:t>
      </w:r>
      <w:r>
        <w:t xml:space="preserve">and </w:t>
      </w:r>
      <w:r w:rsidR="001C75D3">
        <w:t>their ownership</w:t>
      </w:r>
      <w:r>
        <w:t xml:space="preserve"> percentages</w:t>
      </w:r>
      <w:r w:rsidR="001C75D3">
        <w:t>.</w:t>
      </w:r>
      <w:r w:rsidR="008A16CD">
        <w:rPr>
          <w:rStyle w:val="FootnoteReference"/>
        </w:rPr>
        <w:footnoteReference w:id="5"/>
      </w:r>
    </w:p>
    <w:p w14:paraId="4B400992" w14:textId="1DA98A21" w:rsidR="00687FFD" w:rsidRDefault="00687FFD" w:rsidP="00D16813">
      <w:pPr>
        <w:pStyle w:val="BodyText"/>
        <w:widowControl/>
        <w:numPr>
          <w:ilvl w:val="0"/>
          <w:numId w:val="20"/>
        </w:numPr>
        <w:jc w:val="both"/>
        <w:outlineLvl w:val="0"/>
      </w:pPr>
      <w:r>
        <w:t xml:space="preserve">What documents suggest this was an entity </w:t>
      </w:r>
      <w:r w:rsidR="00961E56">
        <w:t xml:space="preserve">account </w:t>
      </w:r>
      <w:r w:rsidR="005434E0">
        <w:t xml:space="preserve">rather </w:t>
      </w:r>
      <w:r w:rsidR="00961E56">
        <w:t xml:space="preserve">than what all of the account opening documents show, that it was opened as a </w:t>
      </w:r>
      <w:r w:rsidR="005434E0">
        <w:t xml:space="preserve">personal </w:t>
      </w:r>
      <w:r>
        <w:t>account.</w:t>
      </w:r>
    </w:p>
    <w:p w14:paraId="6FC85AD4" w14:textId="0109A01B" w:rsidR="00835828" w:rsidRDefault="00835828" w:rsidP="00D16813">
      <w:pPr>
        <w:pStyle w:val="BodyText"/>
        <w:widowControl/>
        <w:numPr>
          <w:ilvl w:val="0"/>
          <w:numId w:val="20"/>
        </w:numPr>
        <w:jc w:val="both"/>
        <w:outlineLvl w:val="0"/>
      </w:pPr>
      <w:r>
        <w:t xml:space="preserve">If it is </w:t>
      </w:r>
      <w:r w:rsidRPr="00134ADD">
        <w:rPr>
          <w:i/>
          <w:iCs/>
        </w:rPr>
        <w:t>not</w:t>
      </w:r>
      <w:r>
        <w:t xml:space="preserve"> a</w:t>
      </w:r>
      <w:r w:rsidR="00961E56">
        <w:t xml:space="preserve"> distinct legal</w:t>
      </w:r>
      <w:r>
        <w:t xml:space="preserve"> entity (i.e., is a sole proprietorship or a simple partnership)</w:t>
      </w:r>
      <w:r w:rsidR="00961E56">
        <w:t>,</w:t>
      </w:r>
      <w:r>
        <w:t xml:space="preserve"> the principals, </w:t>
      </w:r>
      <w:r w:rsidR="00D16813">
        <w:t xml:space="preserve">and what </w:t>
      </w:r>
      <w:r w:rsidR="00961E56">
        <w:t xml:space="preserve">their </w:t>
      </w:r>
      <w:r w:rsidR="00D16813">
        <w:t xml:space="preserve">levels of </w:t>
      </w:r>
      <w:r w:rsidR="00F226EC">
        <w:t>participation</w:t>
      </w:r>
      <w:r w:rsidR="00961E56">
        <w:t xml:space="preserve"> might be</w:t>
      </w:r>
      <w:r w:rsidR="00F226EC">
        <w:t>.</w:t>
      </w:r>
    </w:p>
    <w:p w14:paraId="1797305C" w14:textId="3547D5B5" w:rsidR="00F226EC" w:rsidRDefault="00F226EC" w:rsidP="00D16813">
      <w:pPr>
        <w:pStyle w:val="BodyText"/>
        <w:widowControl/>
        <w:numPr>
          <w:ilvl w:val="0"/>
          <w:numId w:val="20"/>
        </w:numPr>
        <w:jc w:val="both"/>
        <w:outlineLvl w:val="0"/>
      </w:pPr>
      <w:r>
        <w:t xml:space="preserve">How long it was in business, </w:t>
      </w:r>
      <w:r w:rsidR="008A16CD">
        <w:t>when and how it ended, where its records may be</w:t>
      </w:r>
      <w:r w:rsidR="00687FFD">
        <w:t xml:space="preserve">—and </w:t>
      </w:r>
      <w:r w:rsidR="006F2130">
        <w:t>the identity of</w:t>
      </w:r>
      <w:r w:rsidR="00687FFD">
        <w:t xml:space="preserve"> the custodian of its records.</w:t>
      </w:r>
    </w:p>
    <w:p w14:paraId="3C812783" w14:textId="77777777" w:rsidR="0089735D" w:rsidRPr="0089735D" w:rsidRDefault="0089735D" w:rsidP="0089735D">
      <w:pPr>
        <w:pStyle w:val="BodyText"/>
        <w:widowControl/>
        <w:ind w:left="1080"/>
        <w:jc w:val="both"/>
        <w:outlineLvl w:val="0"/>
        <w:rPr>
          <w:sz w:val="8"/>
          <w:szCs w:val="8"/>
        </w:rPr>
      </w:pPr>
    </w:p>
    <w:p w14:paraId="38861ADB" w14:textId="359FDF26" w:rsidR="000A7D63" w:rsidRDefault="00134ADD" w:rsidP="008A16CD">
      <w:pPr>
        <w:pStyle w:val="BodyText"/>
        <w:spacing w:before="92" w:line="480" w:lineRule="auto"/>
        <w:ind w:right="114" w:firstLine="720"/>
        <w:jc w:val="both"/>
      </w:pPr>
      <w:r>
        <w:t>Entities are often defunct by the time of litigation. I</w:t>
      </w:r>
      <w:r w:rsidR="008A16CD">
        <w:t xml:space="preserve">t is unclear why Island Appliances </w:t>
      </w:r>
      <w:r w:rsidR="00467FBC">
        <w:t>being</w:t>
      </w:r>
      <w:r w:rsidR="008A16CD">
        <w:t xml:space="preserve"> </w:t>
      </w:r>
      <w:r>
        <w:t>so</w:t>
      </w:r>
      <w:r w:rsidR="008A16CD">
        <w:t xml:space="preserve"> would obviate a letter </w:t>
      </w:r>
      <w:r w:rsidR="00833EAB">
        <w:t>s</w:t>
      </w:r>
      <w:r w:rsidR="008A16CD">
        <w:t xml:space="preserve">eeking </w:t>
      </w:r>
      <w:r>
        <w:t xml:space="preserve">either </w:t>
      </w:r>
      <w:r w:rsidR="008A16CD">
        <w:t xml:space="preserve">Isam’s </w:t>
      </w:r>
      <w:r w:rsidR="00961E56">
        <w:t xml:space="preserve">or Island’s </w:t>
      </w:r>
      <w:r w:rsidR="00833EAB">
        <w:t>statements.</w:t>
      </w:r>
      <w:r w:rsidR="008A16CD">
        <w:t xml:space="preserve"> </w:t>
      </w:r>
    </w:p>
    <w:p w14:paraId="5140729F" w14:textId="77777777" w:rsidR="000A7D63" w:rsidRDefault="000A7D63">
      <w:pPr>
        <w:rPr>
          <w:rFonts w:eastAsia="Arial" w:cs="Arial"/>
        </w:rPr>
      </w:pPr>
      <w:r>
        <w:br w:type="page"/>
      </w:r>
    </w:p>
    <w:p w14:paraId="59904231" w14:textId="2FBF9881" w:rsidR="008A16CD" w:rsidRPr="00833EAB" w:rsidRDefault="00E916A0" w:rsidP="008A16CD">
      <w:pPr>
        <w:pStyle w:val="BodyText"/>
        <w:numPr>
          <w:ilvl w:val="0"/>
          <w:numId w:val="18"/>
        </w:numPr>
        <w:spacing w:after="120"/>
        <w:ind w:right="115"/>
        <w:jc w:val="both"/>
        <w:rPr>
          <w:b/>
          <w:bCs/>
        </w:rPr>
      </w:pPr>
      <w:r w:rsidRPr="00BC05EF">
        <w:rPr>
          <w:b/>
          <w:bCs/>
        </w:rPr>
        <w:lastRenderedPageBreak/>
        <w:t>Isam’s</w:t>
      </w:r>
      <w:r w:rsidR="000031AC">
        <w:rPr>
          <w:b/>
          <w:bCs/>
        </w:rPr>
        <w:t xml:space="preserve"> 2nd</w:t>
      </w:r>
      <w:r w:rsidRPr="00BC05EF">
        <w:rPr>
          <w:b/>
          <w:bCs/>
        </w:rPr>
        <w:t xml:space="preserve"> </w:t>
      </w:r>
      <w:r w:rsidR="00467FBC">
        <w:rPr>
          <w:b/>
          <w:bCs/>
        </w:rPr>
        <w:t>point</w:t>
      </w:r>
      <w:r w:rsidR="000031AC">
        <w:rPr>
          <w:b/>
          <w:bCs/>
        </w:rPr>
        <w:t>,</w:t>
      </w:r>
      <w:r w:rsidRPr="00BC05EF">
        <w:rPr>
          <w:b/>
          <w:bCs/>
        </w:rPr>
        <w:t xml:space="preserve"> a</w:t>
      </w:r>
      <w:r w:rsidR="008A16CD" w:rsidRPr="00BC05EF">
        <w:rPr>
          <w:b/>
          <w:bCs/>
        </w:rPr>
        <w:t>t 2</w:t>
      </w:r>
      <w:r w:rsidRPr="00BC05EF">
        <w:rPr>
          <w:b/>
          <w:bCs/>
        </w:rPr>
        <w:t>—asking w</w:t>
      </w:r>
      <w:r w:rsidR="008A16CD" w:rsidRPr="00BC05EF">
        <w:rPr>
          <w:b/>
          <w:bCs/>
        </w:rPr>
        <w:t xml:space="preserve">hy </w:t>
      </w:r>
      <w:r w:rsidRPr="00BC05EF">
        <w:rPr>
          <w:b/>
          <w:bCs/>
        </w:rPr>
        <w:t xml:space="preserve">it would be </w:t>
      </w:r>
      <w:r w:rsidR="008A16CD" w:rsidRPr="00BC05EF">
        <w:rPr>
          <w:b/>
          <w:bCs/>
        </w:rPr>
        <w:t xml:space="preserve">necessary </w:t>
      </w:r>
      <w:r w:rsidR="00BC05EF">
        <w:rPr>
          <w:b/>
          <w:bCs/>
        </w:rPr>
        <w:t xml:space="preserve">[for Hamed] </w:t>
      </w:r>
      <w:r w:rsidR="008A16CD" w:rsidRPr="00BC05EF">
        <w:rPr>
          <w:b/>
          <w:bCs/>
        </w:rPr>
        <w:t>to look at the commercial bank records of [Island Appliance’s which is] no longer in business</w:t>
      </w:r>
      <w:r w:rsidR="00BC05EF">
        <w:rPr>
          <w:b/>
          <w:bCs/>
        </w:rPr>
        <w:t>,</w:t>
      </w:r>
      <w:r w:rsidR="008A16CD" w:rsidRPr="00BC05EF">
        <w:rPr>
          <w:b/>
          <w:bCs/>
        </w:rPr>
        <w:t xml:space="preserve"> which. . .did not generate the money</w:t>
      </w:r>
      <w:r w:rsidR="008A16CD" w:rsidRPr="00BC05EF">
        <w:rPr>
          <w:b/>
          <w:bCs/>
          <w:spacing w:val="-2"/>
        </w:rPr>
        <w:t xml:space="preserve"> </w:t>
      </w:r>
      <w:r w:rsidR="008A16CD" w:rsidRPr="00BC05EF">
        <w:rPr>
          <w:b/>
          <w:bCs/>
        </w:rPr>
        <w:t>which</w:t>
      </w:r>
      <w:r w:rsidR="008A16CD" w:rsidRPr="00BC05EF">
        <w:rPr>
          <w:b/>
          <w:bCs/>
          <w:spacing w:val="-1"/>
        </w:rPr>
        <w:t xml:space="preserve"> </w:t>
      </w:r>
      <w:r w:rsidR="008A16CD" w:rsidRPr="00BC05EF">
        <w:rPr>
          <w:b/>
          <w:bCs/>
        </w:rPr>
        <w:t>is an issue in</w:t>
      </w:r>
      <w:r w:rsidR="008A16CD" w:rsidRPr="00BC05EF">
        <w:rPr>
          <w:b/>
          <w:bCs/>
          <w:spacing w:val="-2"/>
        </w:rPr>
        <w:t xml:space="preserve"> </w:t>
      </w:r>
      <w:r w:rsidR="008A16CD" w:rsidRPr="00BC05EF">
        <w:rPr>
          <w:b/>
          <w:bCs/>
        </w:rPr>
        <w:t>this case.</w:t>
      </w:r>
      <w:r w:rsidR="008A16CD" w:rsidRPr="00BC05EF">
        <w:rPr>
          <w:b/>
          <w:bCs/>
          <w:spacing w:val="40"/>
        </w:rPr>
        <w:t xml:space="preserve"> </w:t>
      </w:r>
      <w:r w:rsidR="008A16CD" w:rsidRPr="00BC05EF">
        <w:rPr>
          <w:b/>
          <w:bCs/>
        </w:rPr>
        <w:t>They</w:t>
      </w:r>
      <w:r w:rsidR="008A16CD" w:rsidRPr="00BC05EF">
        <w:rPr>
          <w:b/>
          <w:bCs/>
          <w:spacing w:val="-5"/>
        </w:rPr>
        <w:t xml:space="preserve"> </w:t>
      </w:r>
      <w:r w:rsidRPr="00BC05EF">
        <w:rPr>
          <w:b/>
          <w:bCs/>
          <w:spacing w:val="-5"/>
        </w:rPr>
        <w:t>[</w:t>
      </w:r>
      <w:r w:rsidR="006F2130">
        <w:rPr>
          <w:b/>
          <w:bCs/>
          <w:spacing w:val="-5"/>
        </w:rPr>
        <w:t xml:space="preserve">Hamed and </w:t>
      </w:r>
      <w:r w:rsidRPr="00BC05EF">
        <w:rPr>
          <w:b/>
          <w:bCs/>
          <w:spacing w:val="-5"/>
        </w:rPr>
        <w:t xml:space="preserve">Sixteen Plus] </w:t>
      </w:r>
      <w:r w:rsidR="008A16CD" w:rsidRPr="00BC05EF">
        <w:rPr>
          <w:b/>
          <w:bCs/>
        </w:rPr>
        <w:t>have</w:t>
      </w:r>
      <w:r w:rsidR="008A16CD" w:rsidRPr="00BC05EF">
        <w:rPr>
          <w:b/>
          <w:bCs/>
          <w:spacing w:val="-1"/>
        </w:rPr>
        <w:t xml:space="preserve"> </w:t>
      </w:r>
      <w:r w:rsidR="008A16CD" w:rsidRPr="00BC05EF">
        <w:rPr>
          <w:b/>
          <w:bCs/>
        </w:rPr>
        <w:t>the records</w:t>
      </w:r>
      <w:r w:rsidR="008A16CD" w:rsidRPr="00BC05EF">
        <w:rPr>
          <w:b/>
          <w:bCs/>
          <w:spacing w:val="-2"/>
        </w:rPr>
        <w:t xml:space="preserve"> </w:t>
      </w:r>
      <w:r w:rsidR="00BC05EF">
        <w:rPr>
          <w:b/>
          <w:bCs/>
          <w:spacing w:val="-2"/>
        </w:rPr>
        <w:t xml:space="preserve">[of where the funds really did come from] </w:t>
      </w:r>
      <w:r w:rsidR="008A16CD" w:rsidRPr="00BC05EF">
        <w:rPr>
          <w:b/>
          <w:bCs/>
        </w:rPr>
        <w:t>and,</w:t>
      </w:r>
      <w:r w:rsidR="008A16CD" w:rsidRPr="00BC05EF">
        <w:rPr>
          <w:b/>
          <w:bCs/>
          <w:spacing w:val="-4"/>
        </w:rPr>
        <w:t xml:space="preserve"> </w:t>
      </w:r>
      <w:r w:rsidR="008A16CD" w:rsidRPr="00BC05EF">
        <w:rPr>
          <w:b/>
          <w:bCs/>
        </w:rPr>
        <w:t>therefore,</w:t>
      </w:r>
      <w:r w:rsidR="008A16CD" w:rsidRPr="00BC05EF">
        <w:rPr>
          <w:b/>
          <w:bCs/>
          <w:spacing w:val="-1"/>
        </w:rPr>
        <w:t xml:space="preserve"> </w:t>
      </w:r>
      <w:r w:rsidR="008A16CD" w:rsidRPr="00BC05EF">
        <w:rPr>
          <w:b/>
          <w:bCs/>
        </w:rPr>
        <w:t>they</w:t>
      </w:r>
      <w:r w:rsidR="008A16CD" w:rsidRPr="00BC05EF">
        <w:rPr>
          <w:b/>
          <w:bCs/>
          <w:spacing w:val="-2"/>
        </w:rPr>
        <w:t xml:space="preserve"> </w:t>
      </w:r>
      <w:r w:rsidR="008A16CD" w:rsidRPr="00BC05EF">
        <w:rPr>
          <w:b/>
          <w:bCs/>
        </w:rPr>
        <w:t>do</w:t>
      </w:r>
      <w:r w:rsidR="008A16CD" w:rsidRPr="00BC05EF">
        <w:rPr>
          <w:b/>
          <w:bCs/>
          <w:spacing w:val="-1"/>
        </w:rPr>
        <w:t xml:space="preserve"> </w:t>
      </w:r>
      <w:r w:rsidR="008A16CD" w:rsidRPr="00BC05EF">
        <w:rPr>
          <w:b/>
          <w:bCs/>
        </w:rPr>
        <w:t xml:space="preserve">not need an order from this Court to compel a meaningless search of bank records in St. </w:t>
      </w:r>
      <w:r w:rsidR="008A16CD" w:rsidRPr="00BC05EF">
        <w:rPr>
          <w:b/>
          <w:bCs/>
          <w:spacing w:val="-2"/>
        </w:rPr>
        <w:t>Maarten.</w:t>
      </w:r>
    </w:p>
    <w:p w14:paraId="0A14A756" w14:textId="19FC2065" w:rsidR="00E916A0" w:rsidRDefault="00E916A0" w:rsidP="00E916A0">
      <w:pPr>
        <w:pStyle w:val="BodyText"/>
        <w:widowControl/>
        <w:spacing w:line="480" w:lineRule="auto"/>
        <w:ind w:firstLine="720"/>
        <w:jc w:val="both"/>
        <w:outlineLvl w:val="0"/>
      </w:pPr>
      <w:r>
        <w:t xml:space="preserve">First, Rule 33(a)(2) is </w:t>
      </w:r>
      <w:r w:rsidR="00467FBC">
        <w:t>quite</w:t>
      </w:r>
      <w:r>
        <w:t xml:space="preserve"> clear. Isam and his counsel do not have the power to determine “why it would be necessary” for Hamed to seek this information. It states:</w:t>
      </w:r>
    </w:p>
    <w:p w14:paraId="2E0F2712" w14:textId="262C5D8A" w:rsidR="00E916A0" w:rsidRDefault="00E916A0" w:rsidP="00E916A0">
      <w:pPr>
        <w:pStyle w:val="BodyText"/>
        <w:widowControl/>
        <w:ind w:left="720" w:right="720"/>
        <w:jc w:val="both"/>
        <w:outlineLvl w:val="0"/>
      </w:pPr>
      <w:r>
        <w:t xml:space="preserve">(2) Scope. An interrogatory may relate to </w:t>
      </w:r>
      <w:r w:rsidRPr="00687FFD">
        <w:rPr>
          <w:i/>
          <w:iCs/>
        </w:rPr>
        <w:t>any matter that may be inquired into under Rule 26(b)</w:t>
      </w:r>
      <w:r>
        <w:t>. An interrogatory is not objectionable merely because it asks for an opinion or contention that relates to fact or the application of law to fact. . . .</w:t>
      </w:r>
    </w:p>
    <w:p w14:paraId="0F0D3B8C" w14:textId="09B2171F" w:rsidR="00E916A0" w:rsidRPr="000B2D36" w:rsidRDefault="00E916A0" w:rsidP="00E916A0">
      <w:pPr>
        <w:pStyle w:val="BodyText"/>
        <w:widowControl/>
        <w:ind w:left="720" w:right="720"/>
        <w:jc w:val="both"/>
        <w:outlineLvl w:val="0"/>
        <w:rPr>
          <w:sz w:val="16"/>
          <w:szCs w:val="16"/>
        </w:rPr>
      </w:pPr>
    </w:p>
    <w:p w14:paraId="102DA8A7" w14:textId="32248A84" w:rsidR="00E916A0" w:rsidRDefault="0083486A" w:rsidP="000B2D36">
      <w:pPr>
        <w:pStyle w:val="BodyText"/>
        <w:widowControl/>
        <w:jc w:val="both"/>
        <w:outlineLvl w:val="0"/>
      </w:pPr>
      <w:r>
        <w:t xml:space="preserve">The referenced portion of </w:t>
      </w:r>
      <w:r w:rsidR="00E916A0">
        <w:t>Rule 26(b) provides:</w:t>
      </w:r>
    </w:p>
    <w:p w14:paraId="3EE2A931" w14:textId="77777777" w:rsidR="000B2D36" w:rsidRPr="000B2D36" w:rsidRDefault="000B2D36" w:rsidP="000B2D36">
      <w:pPr>
        <w:pStyle w:val="BodyText"/>
        <w:widowControl/>
        <w:jc w:val="both"/>
        <w:outlineLvl w:val="0"/>
        <w:rPr>
          <w:sz w:val="16"/>
          <w:szCs w:val="16"/>
        </w:rPr>
      </w:pPr>
    </w:p>
    <w:p w14:paraId="2CD8E7AD" w14:textId="3B0E5D67" w:rsidR="00E916A0" w:rsidRDefault="00E916A0" w:rsidP="00E916A0">
      <w:pPr>
        <w:pStyle w:val="BodyText"/>
        <w:widowControl/>
        <w:ind w:left="720" w:right="720"/>
        <w:jc w:val="both"/>
        <w:outlineLvl w:val="0"/>
      </w:pPr>
      <w:r w:rsidRPr="00E916A0">
        <w:t xml:space="preserve">(b) Discovery Scope and Limits. (1) Scope in General. Unless otherwise limited by court order, the scope of discovery is as follows: Parties may obtain discovery regarding </w:t>
      </w:r>
      <w:r w:rsidRPr="00687FFD">
        <w:rPr>
          <w:i/>
          <w:iCs/>
          <w:u w:val="single"/>
        </w:rPr>
        <w:t>any</w:t>
      </w:r>
      <w:r w:rsidRPr="00E916A0">
        <w:t xml:space="preserve"> nonprivileged matter that is </w:t>
      </w:r>
      <w:r w:rsidRPr="00687FFD">
        <w:rPr>
          <w:i/>
          <w:iCs/>
          <w:u w:val="single"/>
        </w:rPr>
        <w:t>relevant to any party's claim or defense. Information within this scope of discovery need not be admissible in evidence to be discoverable</w:t>
      </w:r>
      <w:r>
        <w:t>.</w:t>
      </w:r>
      <w:r w:rsidR="00687FFD">
        <w:t xml:space="preserve"> (Emphasis added,)</w:t>
      </w:r>
    </w:p>
    <w:p w14:paraId="6FA60967" w14:textId="4FC3ABC7" w:rsidR="00E916A0" w:rsidRDefault="00E916A0" w:rsidP="00E916A0">
      <w:pPr>
        <w:pStyle w:val="BodyText"/>
        <w:widowControl/>
        <w:ind w:left="720" w:right="720"/>
        <w:jc w:val="both"/>
        <w:outlineLvl w:val="0"/>
      </w:pPr>
    </w:p>
    <w:p w14:paraId="19FB0E82" w14:textId="5C2BD3B4" w:rsidR="00BC05EF" w:rsidRDefault="00E916A0" w:rsidP="00687FFD">
      <w:pPr>
        <w:pStyle w:val="BodyText"/>
        <w:widowControl/>
        <w:spacing w:line="480" w:lineRule="auto"/>
        <w:ind w:firstLine="720"/>
        <w:jc w:val="both"/>
        <w:outlineLvl w:val="0"/>
      </w:pPr>
      <w:r>
        <w:t xml:space="preserve">Second, the fact that </w:t>
      </w:r>
      <w:r w:rsidR="0036771D">
        <w:t>Island Appliances</w:t>
      </w:r>
      <w:r>
        <w:t xml:space="preserve"> did not “generate” the funds </w:t>
      </w:r>
      <w:r w:rsidR="00BC05EF">
        <w:t xml:space="preserve">in these accounts </w:t>
      </w:r>
      <w:r>
        <w:t xml:space="preserve">is pretty much the main point here. </w:t>
      </w:r>
      <w:r w:rsidRPr="0083486A">
        <w:rPr>
          <w:i/>
          <w:iCs/>
        </w:rPr>
        <w:t xml:space="preserve">Island Appliances </w:t>
      </w:r>
      <w:r w:rsidR="00687FFD" w:rsidRPr="0083486A">
        <w:rPr>
          <w:i/>
          <w:iCs/>
        </w:rPr>
        <w:t xml:space="preserve">absolutely </w:t>
      </w:r>
      <w:r w:rsidRPr="0083486A">
        <w:rPr>
          <w:i/>
          <w:iCs/>
        </w:rPr>
        <w:t>did not generate the money, and there is not a single shred of documentary evidence that Manal’s and Isam’s father (Mohammad</w:t>
      </w:r>
      <w:r w:rsidR="005434E0">
        <w:rPr>
          <w:i/>
          <w:iCs/>
        </w:rPr>
        <w:t xml:space="preserve"> Yusuf</w:t>
      </w:r>
      <w:r w:rsidRPr="0083486A">
        <w:rPr>
          <w:i/>
          <w:iCs/>
        </w:rPr>
        <w:t xml:space="preserve">) generated </w:t>
      </w:r>
      <w:r w:rsidR="00BC05EF" w:rsidRPr="0083486A">
        <w:rPr>
          <w:i/>
          <w:iCs/>
        </w:rPr>
        <w:t xml:space="preserve">or deposited </w:t>
      </w:r>
      <w:r w:rsidRPr="0083486A">
        <w:rPr>
          <w:i/>
          <w:iCs/>
        </w:rPr>
        <w:t>the money</w:t>
      </w:r>
      <w:r w:rsidR="00BC05EF" w:rsidRPr="0083486A">
        <w:rPr>
          <w:i/>
          <w:iCs/>
        </w:rPr>
        <w:t xml:space="preserve"> either</w:t>
      </w:r>
      <w:r>
        <w:t xml:space="preserve"> . . . .</w:t>
      </w:r>
      <w:r w:rsidRPr="00687FFD">
        <w:rPr>
          <w:i/>
          <w:iCs/>
          <w:u w:val="single"/>
        </w:rPr>
        <w:t>and yet</w:t>
      </w:r>
      <w:r w:rsidR="00833EAB">
        <w:t xml:space="preserve">. . . .and </w:t>
      </w:r>
      <w:r w:rsidR="004A4798">
        <w:t>yet</w:t>
      </w:r>
      <w:r w:rsidR="005434E0">
        <w:t xml:space="preserve">, </w:t>
      </w:r>
      <w:r>
        <w:t>all of th</w:t>
      </w:r>
      <w:r w:rsidR="00961E56">
        <w:t>e</w:t>
      </w:r>
      <w:r>
        <w:t xml:space="preserve"> money </w:t>
      </w:r>
      <w:r w:rsidR="005434E0">
        <w:t xml:space="preserve">sent to Sixteen Plus </w:t>
      </w:r>
      <w:r w:rsidR="00961E56">
        <w:t xml:space="preserve">in 1997 </w:t>
      </w:r>
      <w:r>
        <w:t xml:space="preserve">somehow </w:t>
      </w:r>
      <w:r w:rsidR="00961E56">
        <w:t xml:space="preserve">came from </w:t>
      </w:r>
      <w:r w:rsidR="00467FBC">
        <w:t xml:space="preserve">this </w:t>
      </w:r>
      <w:r>
        <w:t>Isam</w:t>
      </w:r>
      <w:r w:rsidR="00467FBC">
        <w:t xml:space="preserve"> Yousuf</w:t>
      </w:r>
      <w:r>
        <w:t xml:space="preserve"> </w:t>
      </w:r>
      <w:r w:rsidR="00833EAB">
        <w:t xml:space="preserve">personal </w:t>
      </w:r>
      <w:r w:rsidR="00467FBC">
        <w:t xml:space="preserve">Bank </w:t>
      </w:r>
      <w:r>
        <w:t xml:space="preserve">account. Hamed does not allege </w:t>
      </w:r>
      <w:r w:rsidRPr="00687FFD">
        <w:rPr>
          <w:i/>
          <w:iCs/>
          <w:u w:val="single"/>
        </w:rPr>
        <w:t>any</w:t>
      </w:r>
      <w:r>
        <w:t xml:space="preserve"> Island Appliance </w:t>
      </w:r>
      <w:r w:rsidR="00797AEA">
        <w:t>‘</w:t>
      </w:r>
      <w:r w:rsidR="00687FFD">
        <w:t>generated</w:t>
      </w:r>
      <w:r w:rsidR="00797AEA">
        <w:t>’</w:t>
      </w:r>
      <w:r w:rsidR="00687FFD">
        <w:t xml:space="preserve"> </w:t>
      </w:r>
      <w:r>
        <w:t>funds—</w:t>
      </w:r>
      <w:r w:rsidR="00BC05EF">
        <w:t>rather</w:t>
      </w:r>
      <w:r w:rsidR="003129DA">
        <w:t>,</w:t>
      </w:r>
      <w:r>
        <w:t xml:space="preserve"> </w:t>
      </w:r>
      <w:r w:rsidR="0036771D">
        <w:t xml:space="preserve">that </w:t>
      </w:r>
      <w:r>
        <w:t xml:space="preserve">every cent was deposited by Wally and Fathi. </w:t>
      </w:r>
    </w:p>
    <w:p w14:paraId="20A1D8C5" w14:textId="566F4C97" w:rsidR="000A7D63" w:rsidRDefault="00BC05EF" w:rsidP="00687FFD">
      <w:pPr>
        <w:pStyle w:val="BodyText"/>
        <w:widowControl/>
        <w:spacing w:line="480" w:lineRule="auto"/>
        <w:ind w:firstLine="720"/>
        <w:jc w:val="both"/>
        <w:outlineLvl w:val="0"/>
      </w:pPr>
      <w:r>
        <w:t xml:space="preserve">Third, </w:t>
      </w:r>
      <w:r w:rsidR="004A4798">
        <w:t>it</w:t>
      </w:r>
      <w:r>
        <w:t xml:space="preserve"> would be remarkabl</w:t>
      </w:r>
      <w:r w:rsidR="00687FFD">
        <w:t>y</w:t>
      </w:r>
      <w:r>
        <w:t xml:space="preserve"> useful to the Court to see exactly who </w:t>
      </w:r>
      <w:r w:rsidR="00467FBC" w:rsidRPr="00467FBC">
        <w:rPr>
          <w:i/>
          <w:iCs/>
        </w:rPr>
        <w:t>did</w:t>
      </w:r>
      <w:r>
        <w:t xml:space="preserve"> “generate” the funds </w:t>
      </w:r>
      <w:r w:rsidR="00687FFD">
        <w:t xml:space="preserve">and deposit them </w:t>
      </w:r>
      <w:r>
        <w:t xml:space="preserve">in these accounts, and </w:t>
      </w:r>
      <w:r w:rsidR="00134ADD" w:rsidRPr="00134ADD">
        <w:rPr>
          <w:i/>
          <w:iCs/>
        </w:rPr>
        <w:t>when</w:t>
      </w:r>
      <w:r w:rsidRPr="00134ADD">
        <w:rPr>
          <w:i/>
          <w:iCs/>
        </w:rPr>
        <w:t xml:space="preserve"> </w:t>
      </w:r>
      <w:r>
        <w:t xml:space="preserve">they were deposited—which would be </w:t>
      </w:r>
      <w:r w:rsidR="006832C2">
        <w:t xml:space="preserve">reflected </w:t>
      </w:r>
      <w:r>
        <w:t xml:space="preserve">in </w:t>
      </w:r>
      <w:r w:rsidR="00687FFD">
        <w:t xml:space="preserve">the very bank </w:t>
      </w:r>
      <w:r>
        <w:t>statements</w:t>
      </w:r>
      <w:r w:rsidR="00BA081B">
        <w:t xml:space="preserve"> (with deposit slips) being</w:t>
      </w:r>
      <w:r w:rsidR="00687FFD">
        <w:t xml:space="preserve"> sought.</w:t>
      </w:r>
    </w:p>
    <w:p w14:paraId="06DA2AB4" w14:textId="77777777" w:rsidR="000A7D63" w:rsidRDefault="000A7D63">
      <w:pPr>
        <w:rPr>
          <w:rFonts w:eastAsia="Arial" w:cs="Arial"/>
        </w:rPr>
      </w:pPr>
      <w:r>
        <w:br w:type="page"/>
      </w:r>
    </w:p>
    <w:p w14:paraId="44A21E93" w14:textId="7AE1A3F8" w:rsidR="00BC05EF" w:rsidRDefault="0064603D" w:rsidP="00082BBC">
      <w:pPr>
        <w:pStyle w:val="BodyText"/>
        <w:numPr>
          <w:ilvl w:val="0"/>
          <w:numId w:val="18"/>
        </w:numPr>
        <w:spacing w:after="120"/>
        <w:ind w:right="115"/>
        <w:jc w:val="both"/>
        <w:rPr>
          <w:b/>
          <w:bCs/>
        </w:rPr>
      </w:pPr>
      <w:r>
        <w:rPr>
          <w:b/>
          <w:bCs/>
        </w:rPr>
        <w:lastRenderedPageBreak/>
        <w:t xml:space="preserve">Isam’s </w:t>
      </w:r>
      <w:r w:rsidR="000031AC">
        <w:rPr>
          <w:b/>
          <w:bCs/>
        </w:rPr>
        <w:t>3</w:t>
      </w:r>
      <w:r w:rsidR="000031AC" w:rsidRPr="000031AC">
        <w:rPr>
          <w:b/>
          <w:bCs/>
          <w:vertAlign w:val="superscript"/>
        </w:rPr>
        <w:t>rd</w:t>
      </w:r>
      <w:r w:rsidR="000031AC">
        <w:rPr>
          <w:b/>
          <w:bCs/>
        </w:rPr>
        <w:t xml:space="preserve"> </w:t>
      </w:r>
      <w:r w:rsidR="00467FBC">
        <w:rPr>
          <w:b/>
          <w:bCs/>
        </w:rPr>
        <w:t>point</w:t>
      </w:r>
      <w:r w:rsidR="000031AC">
        <w:rPr>
          <w:b/>
          <w:bCs/>
        </w:rPr>
        <w:t>,</w:t>
      </w:r>
      <w:r>
        <w:rPr>
          <w:b/>
          <w:bCs/>
        </w:rPr>
        <w:t xml:space="preserve"> at 3, that </w:t>
      </w:r>
      <w:r w:rsidR="00BC05EF" w:rsidRPr="0064603D">
        <w:rPr>
          <w:b/>
          <w:bCs/>
        </w:rPr>
        <w:t>[</w:t>
      </w:r>
      <w:r w:rsidR="00797AEA">
        <w:rPr>
          <w:b/>
          <w:bCs/>
        </w:rPr>
        <w:t>Hamed and S</w:t>
      </w:r>
      <w:r w:rsidR="00BC05EF" w:rsidRPr="0064603D">
        <w:rPr>
          <w:b/>
          <w:bCs/>
        </w:rPr>
        <w:t xml:space="preserve">ixteen Plus seek] to permit the police and prosecutors in St. Maarten </w:t>
      </w:r>
      <w:r w:rsidR="00146687">
        <w:rPr>
          <w:b/>
          <w:bCs/>
        </w:rPr>
        <w:t xml:space="preserve">[sic.] </w:t>
      </w:r>
      <w:r w:rsidR="00BC05EF" w:rsidRPr="0064603D">
        <w:rPr>
          <w:b/>
          <w:bCs/>
        </w:rPr>
        <w:t>to conduct this undertaking or to in any way be involved in a document production</w:t>
      </w:r>
      <w:r w:rsidR="00BC05EF" w:rsidRPr="0064603D">
        <w:rPr>
          <w:b/>
          <w:bCs/>
          <w:spacing w:val="35"/>
        </w:rPr>
        <w:t xml:space="preserve"> </w:t>
      </w:r>
      <w:r w:rsidR="00BC05EF" w:rsidRPr="0064603D">
        <w:rPr>
          <w:b/>
          <w:bCs/>
        </w:rPr>
        <w:t>in a civil lawsuit.</w:t>
      </w:r>
      <w:r w:rsidR="00BC05EF" w:rsidRPr="0064603D">
        <w:rPr>
          <w:b/>
          <w:bCs/>
          <w:spacing w:val="80"/>
        </w:rPr>
        <w:t xml:space="preserve"> </w:t>
      </w:r>
      <w:r w:rsidR="00BC05EF" w:rsidRPr="0064603D">
        <w:rPr>
          <w:b/>
          <w:bCs/>
        </w:rPr>
        <w:t>See Ex</w:t>
      </w:r>
      <w:r w:rsidR="00146687">
        <w:rPr>
          <w:b/>
          <w:bCs/>
        </w:rPr>
        <w:t>.</w:t>
      </w:r>
      <w:r w:rsidR="00BC05EF" w:rsidRPr="0064603D">
        <w:rPr>
          <w:b/>
          <w:bCs/>
        </w:rPr>
        <w:t xml:space="preserve"> A, attached.</w:t>
      </w:r>
      <w:r w:rsidR="00BC05EF" w:rsidRPr="0064603D">
        <w:rPr>
          <w:b/>
          <w:bCs/>
          <w:spacing w:val="80"/>
        </w:rPr>
        <w:t xml:space="preserve"> </w:t>
      </w:r>
      <w:r w:rsidR="00BC05EF" w:rsidRPr="0064603D">
        <w:rPr>
          <w:b/>
          <w:bCs/>
        </w:rPr>
        <w:t xml:space="preserve">This request continues to be made despite denials that Sixteen Plus Corporation and its representatives and attorneys are threatening criminal prosecution as a means of advancing the issues </w:t>
      </w:r>
      <w:r w:rsidR="00467FBC">
        <w:rPr>
          <w:b/>
          <w:bCs/>
        </w:rPr>
        <w:t>[here]</w:t>
      </w:r>
      <w:r w:rsidR="00BC05EF" w:rsidRPr="0064603D">
        <w:rPr>
          <w:b/>
          <w:bCs/>
        </w:rPr>
        <w:t>, which is a patently unethical means of prosecuting a lawsuit.</w:t>
      </w:r>
    </w:p>
    <w:p w14:paraId="34C52B2F" w14:textId="77777777" w:rsidR="007739A9" w:rsidRPr="007739A9" w:rsidRDefault="007739A9" w:rsidP="007739A9">
      <w:pPr>
        <w:pStyle w:val="BodyText"/>
        <w:spacing w:after="120"/>
        <w:ind w:left="1080" w:right="115"/>
        <w:jc w:val="both"/>
        <w:rPr>
          <w:b/>
          <w:bCs/>
          <w:sz w:val="8"/>
          <w:szCs w:val="8"/>
        </w:rPr>
      </w:pPr>
    </w:p>
    <w:p w14:paraId="7CF359E3" w14:textId="23FFC68B" w:rsidR="00833EAB" w:rsidRDefault="00AF11AF" w:rsidP="00E84492">
      <w:pPr>
        <w:autoSpaceDE w:val="0"/>
        <w:autoSpaceDN w:val="0"/>
        <w:adjustRightInd w:val="0"/>
        <w:spacing w:line="480" w:lineRule="auto"/>
        <w:ind w:firstLine="720"/>
        <w:jc w:val="both"/>
        <w:outlineLvl w:val="0"/>
        <w:rPr>
          <w:rFonts w:cs="Arial"/>
        </w:rPr>
      </w:pPr>
      <w:r>
        <w:rPr>
          <w:rFonts w:cs="Arial"/>
        </w:rPr>
        <w:t>I</w:t>
      </w:r>
      <w:r w:rsidR="0064603D" w:rsidRPr="0064603D">
        <w:rPr>
          <w:rFonts w:cs="Arial"/>
        </w:rPr>
        <w:t xml:space="preserve">sam </w:t>
      </w:r>
      <w:r w:rsidR="00134ADD">
        <w:rPr>
          <w:rFonts w:cs="Arial"/>
        </w:rPr>
        <w:t>submits</w:t>
      </w:r>
      <w:r w:rsidR="00015E91">
        <w:rPr>
          <w:rFonts w:cs="Arial"/>
        </w:rPr>
        <w:t>,</w:t>
      </w:r>
      <w:r w:rsidR="0064603D" w:rsidRPr="0064603D">
        <w:rPr>
          <w:rFonts w:cs="Arial"/>
        </w:rPr>
        <w:t xml:space="preserve"> as </w:t>
      </w:r>
      <w:r w:rsidR="0083486A">
        <w:rPr>
          <w:rFonts w:cs="Arial"/>
        </w:rPr>
        <w:t xml:space="preserve">his </w:t>
      </w:r>
      <w:r w:rsidR="00015E91" w:rsidRPr="0083486A">
        <w:rPr>
          <w:rFonts w:cs="Arial"/>
          <w:i/>
          <w:iCs/>
        </w:rPr>
        <w:t>E</w:t>
      </w:r>
      <w:r w:rsidR="0064603D" w:rsidRPr="0083486A">
        <w:rPr>
          <w:rFonts w:cs="Arial"/>
          <w:i/>
          <w:iCs/>
        </w:rPr>
        <w:t xml:space="preserve">xhibit </w:t>
      </w:r>
      <w:r w:rsidR="00015E91" w:rsidRPr="0083486A">
        <w:rPr>
          <w:rFonts w:cs="Arial"/>
          <w:i/>
          <w:iCs/>
        </w:rPr>
        <w:t>A</w:t>
      </w:r>
      <w:r>
        <w:rPr>
          <w:rFonts w:cs="Arial"/>
          <w:i/>
          <w:iCs/>
        </w:rPr>
        <w:t xml:space="preserve">, </w:t>
      </w:r>
      <w:r w:rsidRPr="00AF11AF">
        <w:rPr>
          <w:rFonts w:cs="Arial"/>
        </w:rPr>
        <w:t>a</w:t>
      </w:r>
      <w:r w:rsidR="007739A9">
        <w:rPr>
          <w:rFonts w:cs="Arial"/>
        </w:rPr>
        <w:t xml:space="preserve"> letter to </w:t>
      </w:r>
      <w:r>
        <w:rPr>
          <w:rFonts w:cs="Arial"/>
        </w:rPr>
        <w:t xml:space="preserve">Atty. </w:t>
      </w:r>
      <w:r w:rsidR="007739A9">
        <w:rPr>
          <w:rFonts w:cs="Arial"/>
        </w:rPr>
        <w:t>Hymes, dated 12/6/2022</w:t>
      </w:r>
      <w:r>
        <w:rPr>
          <w:rFonts w:cs="Arial"/>
        </w:rPr>
        <w:t>, which is just</w:t>
      </w:r>
      <w:r w:rsidR="00687FFD">
        <w:rPr>
          <w:rFonts w:cs="Arial"/>
        </w:rPr>
        <w:t xml:space="preserve"> </w:t>
      </w:r>
      <w:r w:rsidR="006609A9">
        <w:rPr>
          <w:rFonts w:cs="Arial"/>
        </w:rPr>
        <w:t xml:space="preserve">one small </w:t>
      </w:r>
      <w:r w:rsidR="00BA081B">
        <w:rPr>
          <w:rFonts w:cs="Arial"/>
        </w:rPr>
        <w:t>portion</w:t>
      </w:r>
      <w:r w:rsidR="00E84492">
        <w:rPr>
          <w:rFonts w:cs="Arial"/>
        </w:rPr>
        <w:t xml:space="preserve"> </w:t>
      </w:r>
      <w:r w:rsidR="0064603D" w:rsidRPr="0064603D">
        <w:rPr>
          <w:rFonts w:cs="Arial"/>
        </w:rPr>
        <w:t>of a</w:t>
      </w:r>
      <w:r w:rsidR="006609A9">
        <w:rPr>
          <w:rFonts w:cs="Arial"/>
        </w:rPr>
        <w:t xml:space="preserve"> </w:t>
      </w:r>
      <w:r w:rsidR="006609A9" w:rsidRPr="00AF11AF">
        <w:rPr>
          <w:rFonts w:cs="Arial"/>
        </w:rPr>
        <w:t xml:space="preserve">back-and-forth </w:t>
      </w:r>
      <w:r w:rsidR="006609A9" w:rsidRPr="007739A9">
        <w:rPr>
          <w:rFonts w:cs="Arial"/>
          <w:i/>
          <w:iCs/>
          <w:u w:val="single"/>
        </w:rPr>
        <w:t xml:space="preserve">settlement </w:t>
      </w:r>
      <w:r w:rsidR="0064603D" w:rsidRPr="007739A9">
        <w:rPr>
          <w:rFonts w:cs="Arial"/>
          <w:i/>
          <w:iCs/>
          <w:u w:val="single"/>
        </w:rPr>
        <w:t>negotiation</w:t>
      </w:r>
      <w:r>
        <w:rPr>
          <w:rFonts w:cs="Arial"/>
        </w:rPr>
        <w:t xml:space="preserve">. It is presented and discussed </w:t>
      </w:r>
      <w:r w:rsidR="00082BBC">
        <w:rPr>
          <w:rFonts w:cs="Arial"/>
        </w:rPr>
        <w:t xml:space="preserve">completely </w:t>
      </w:r>
      <w:r w:rsidR="0064603D" w:rsidRPr="0064603D">
        <w:rPr>
          <w:rFonts w:cs="Arial"/>
        </w:rPr>
        <w:t>out of context.</w:t>
      </w:r>
      <w:r w:rsidR="00E84492">
        <w:rPr>
          <w:rFonts w:cs="Arial"/>
        </w:rPr>
        <w:t xml:space="preserve"> </w:t>
      </w:r>
      <w:r>
        <w:rPr>
          <w:rFonts w:cs="Arial"/>
        </w:rPr>
        <w:t>However, b</w:t>
      </w:r>
      <w:r w:rsidR="007739A9">
        <w:rPr>
          <w:rFonts w:cs="Arial"/>
        </w:rPr>
        <w:t xml:space="preserve">ecause Isam’s counsel has exposed this settlement </w:t>
      </w:r>
      <w:r w:rsidR="00C831DD">
        <w:rPr>
          <w:rFonts w:cs="Arial"/>
        </w:rPr>
        <w:t>discussion</w:t>
      </w:r>
      <w:r w:rsidR="007739A9">
        <w:rPr>
          <w:rFonts w:cs="Arial"/>
        </w:rPr>
        <w:t xml:space="preserve">, </w:t>
      </w:r>
      <w:r w:rsidR="00833EAB">
        <w:rPr>
          <w:rFonts w:cs="Arial"/>
        </w:rPr>
        <w:t>Hamed will address the facts, with supporting exhibits.</w:t>
      </w:r>
    </w:p>
    <w:p w14:paraId="490EB46A" w14:textId="4EBF1A0D" w:rsidR="009B3FD2" w:rsidRDefault="00E659DE" w:rsidP="00E84492">
      <w:pPr>
        <w:autoSpaceDE w:val="0"/>
        <w:autoSpaceDN w:val="0"/>
        <w:adjustRightInd w:val="0"/>
        <w:spacing w:line="480" w:lineRule="auto"/>
        <w:ind w:firstLine="720"/>
        <w:jc w:val="both"/>
        <w:outlineLvl w:val="0"/>
        <w:rPr>
          <w:rFonts w:eastAsiaTheme="minorHAnsi" w:cs="Arial"/>
          <w:color w:val="060606"/>
          <w:szCs w:val="22"/>
        </w:rPr>
      </w:pPr>
      <w:r>
        <w:rPr>
          <w:rFonts w:cs="Arial"/>
        </w:rPr>
        <w:t>Before</w:t>
      </w:r>
      <w:r w:rsidR="00015E91">
        <w:rPr>
          <w:rFonts w:cs="Arial"/>
        </w:rPr>
        <w:t xml:space="preserve"> </w:t>
      </w:r>
      <w:r w:rsidR="00015E91" w:rsidRPr="00527356">
        <w:rPr>
          <w:rFonts w:cs="Arial"/>
          <w:i/>
          <w:iCs/>
        </w:rPr>
        <w:t>th</w:t>
      </w:r>
      <w:r w:rsidR="00625071" w:rsidRPr="00527356">
        <w:rPr>
          <w:rFonts w:cs="Arial"/>
          <w:i/>
          <w:iCs/>
        </w:rPr>
        <w:t>is</w:t>
      </w:r>
      <w:r w:rsidR="00377B8D">
        <w:rPr>
          <w:rFonts w:cs="Arial"/>
        </w:rPr>
        <w:t xml:space="preserve"> </w:t>
      </w:r>
      <w:r w:rsidR="00015E91">
        <w:rPr>
          <w:rFonts w:cs="Arial"/>
        </w:rPr>
        <w:t xml:space="preserve">negotiation </w:t>
      </w:r>
      <w:r w:rsidR="0083486A">
        <w:rPr>
          <w:rFonts w:cs="Arial"/>
        </w:rPr>
        <w:t xml:space="preserve">was </w:t>
      </w:r>
      <w:r w:rsidR="00015E91">
        <w:rPr>
          <w:rFonts w:cs="Arial"/>
        </w:rPr>
        <w:t>started</w:t>
      </w:r>
      <w:r w:rsidR="0083486A">
        <w:rPr>
          <w:rFonts w:cs="Arial"/>
        </w:rPr>
        <w:t xml:space="preserve"> by </w:t>
      </w:r>
      <w:r w:rsidR="00AF11AF">
        <w:rPr>
          <w:rFonts w:cs="Arial"/>
        </w:rPr>
        <w:t xml:space="preserve">Manal and </w:t>
      </w:r>
      <w:r w:rsidR="00527356" w:rsidRPr="00AF11AF">
        <w:rPr>
          <w:rFonts w:cs="Arial"/>
        </w:rPr>
        <w:t>Isam’s</w:t>
      </w:r>
      <w:r w:rsidR="0083486A" w:rsidRPr="00625071">
        <w:rPr>
          <w:rFonts w:cs="Arial"/>
          <w:i/>
          <w:iCs/>
        </w:rPr>
        <w:t xml:space="preserve"> </w:t>
      </w:r>
      <w:r w:rsidR="0083486A" w:rsidRPr="00AF11AF">
        <w:rPr>
          <w:rFonts w:cs="Arial"/>
        </w:rPr>
        <w:t>counsel</w:t>
      </w:r>
      <w:r w:rsidR="00015E91">
        <w:rPr>
          <w:rFonts w:cs="Arial"/>
        </w:rPr>
        <w:t xml:space="preserve">, </w:t>
      </w:r>
      <w:r w:rsidR="00AF11AF">
        <w:rPr>
          <w:rFonts w:cs="Arial"/>
        </w:rPr>
        <w:t>he had</w:t>
      </w:r>
      <w:r w:rsidR="000F0203">
        <w:rPr>
          <w:rFonts w:cs="Arial"/>
        </w:rPr>
        <w:t xml:space="preserve"> </w:t>
      </w:r>
      <w:r w:rsidR="00015E91">
        <w:rPr>
          <w:rFonts w:cs="Arial"/>
        </w:rPr>
        <w:t xml:space="preserve">tried to avoid responding to discovery by raising this </w:t>
      </w:r>
      <w:r w:rsidR="00BA081B">
        <w:rPr>
          <w:rFonts w:cs="Arial"/>
        </w:rPr>
        <w:t xml:space="preserve">same </w:t>
      </w:r>
      <w:r w:rsidR="00015E91">
        <w:rPr>
          <w:rFonts w:cs="Arial"/>
        </w:rPr>
        <w:t>red-herring</w:t>
      </w:r>
      <w:r w:rsidR="00082BBC">
        <w:rPr>
          <w:rFonts w:cs="Arial"/>
        </w:rPr>
        <w:t>—</w:t>
      </w:r>
      <w:r w:rsidR="00AF11AF">
        <w:rPr>
          <w:rFonts w:cs="Arial"/>
        </w:rPr>
        <w:t xml:space="preserve">the specter of an ethics complaint. </w:t>
      </w:r>
      <w:r w:rsidR="00082BBC">
        <w:rPr>
          <w:rFonts w:cs="Arial"/>
        </w:rPr>
        <w:t xml:space="preserve">Hamed </w:t>
      </w:r>
      <w:r w:rsidR="000F0203">
        <w:rPr>
          <w:rFonts w:cs="Arial"/>
        </w:rPr>
        <w:t xml:space="preserve">addressed </w:t>
      </w:r>
      <w:r w:rsidR="00AF11AF">
        <w:rPr>
          <w:rFonts w:cs="Arial"/>
        </w:rPr>
        <w:t xml:space="preserve">that </w:t>
      </w:r>
      <w:r w:rsidR="000F0203">
        <w:rPr>
          <w:rFonts w:cs="Arial"/>
        </w:rPr>
        <w:t>at some length</w:t>
      </w:r>
      <w:r w:rsidR="00803AFF">
        <w:rPr>
          <w:rFonts w:cs="Arial"/>
        </w:rPr>
        <w:t>;</w:t>
      </w:r>
      <w:r>
        <w:rPr>
          <w:rFonts w:cs="Arial"/>
        </w:rPr>
        <w:t xml:space="preserve"> stat</w:t>
      </w:r>
      <w:r w:rsidR="00803AFF">
        <w:rPr>
          <w:rFonts w:cs="Arial"/>
        </w:rPr>
        <w:t>ing</w:t>
      </w:r>
      <w:r>
        <w:rPr>
          <w:rFonts w:cs="Arial"/>
        </w:rPr>
        <w:t xml:space="preserve"> he </w:t>
      </w:r>
      <w:r w:rsidR="00803AFF">
        <w:rPr>
          <w:rFonts w:cs="Arial"/>
        </w:rPr>
        <w:t>was not intimidated</w:t>
      </w:r>
      <w:r w:rsidR="00C831DD">
        <w:rPr>
          <w:rFonts w:cs="Arial"/>
        </w:rPr>
        <w:t xml:space="preserve"> </w:t>
      </w:r>
      <w:r w:rsidR="00803AFF">
        <w:rPr>
          <w:rFonts w:cs="Arial"/>
        </w:rPr>
        <w:t xml:space="preserve">and </w:t>
      </w:r>
      <w:r>
        <w:rPr>
          <w:rFonts w:cs="Arial"/>
        </w:rPr>
        <w:t>would move to compel.</w:t>
      </w:r>
      <w:r w:rsidR="00C831DD">
        <w:rPr>
          <w:rFonts w:cs="Arial"/>
        </w:rPr>
        <w:t xml:space="preserve"> </w:t>
      </w:r>
      <w:r w:rsidR="00015E91" w:rsidRPr="00015E91">
        <w:rPr>
          <w:rFonts w:cs="Arial"/>
          <w:i/>
          <w:iCs/>
        </w:rPr>
        <w:t>See</w:t>
      </w:r>
      <w:r>
        <w:rPr>
          <w:rFonts w:cs="Arial"/>
          <w:i/>
          <w:iCs/>
        </w:rPr>
        <w:t xml:space="preserve"> </w:t>
      </w:r>
      <w:r w:rsidR="00015E91" w:rsidRPr="00015E91">
        <w:rPr>
          <w:rFonts w:cs="Arial"/>
          <w:b/>
          <w:bCs/>
        </w:rPr>
        <w:t>Exhibit 11</w:t>
      </w:r>
      <w:r w:rsidR="0083486A">
        <w:rPr>
          <w:rFonts w:cs="Arial"/>
          <w:b/>
          <w:bCs/>
        </w:rPr>
        <w:t xml:space="preserve">, </w:t>
      </w:r>
      <w:r w:rsidR="00015E91">
        <w:rPr>
          <w:rFonts w:cs="Arial"/>
        </w:rPr>
        <w:t xml:space="preserve">email </w:t>
      </w:r>
      <w:r>
        <w:rPr>
          <w:rFonts w:cs="Arial"/>
        </w:rPr>
        <w:t>to</w:t>
      </w:r>
      <w:r w:rsidR="00015E91">
        <w:rPr>
          <w:rFonts w:cs="Arial"/>
        </w:rPr>
        <w:t xml:space="preserve"> Atty. Hymes, dated </w:t>
      </w:r>
      <w:r w:rsidR="007739A9">
        <w:rPr>
          <w:rFonts w:cs="Arial"/>
        </w:rPr>
        <w:t>10/5/2022</w:t>
      </w:r>
      <w:r w:rsidR="00015E91">
        <w:rPr>
          <w:rFonts w:cs="Arial"/>
        </w:rPr>
        <w:t xml:space="preserve">. </w:t>
      </w:r>
      <w:r>
        <w:rPr>
          <w:rFonts w:cs="Arial"/>
        </w:rPr>
        <w:t>Thereafter</w:t>
      </w:r>
      <w:r w:rsidR="00015E91">
        <w:rPr>
          <w:rFonts w:cs="Arial"/>
        </w:rPr>
        <w:t xml:space="preserve"> </w:t>
      </w:r>
      <w:r w:rsidR="0064603D" w:rsidRPr="00E659DE">
        <w:rPr>
          <w:rFonts w:cs="Arial"/>
        </w:rPr>
        <w:t>Isam’s counsel</w:t>
      </w:r>
      <w:r w:rsidRPr="00E659DE">
        <w:rPr>
          <w:rFonts w:cs="Arial"/>
        </w:rPr>
        <w:t xml:space="preserve"> </w:t>
      </w:r>
      <w:r w:rsidR="00082BBC" w:rsidRPr="00E659DE">
        <w:rPr>
          <w:rFonts w:cs="Arial"/>
        </w:rPr>
        <w:t xml:space="preserve">initiated the </w:t>
      </w:r>
      <w:r w:rsidR="00687FFD" w:rsidRPr="00E659DE">
        <w:rPr>
          <w:rFonts w:cs="Arial"/>
        </w:rPr>
        <w:t xml:space="preserve">settlement </w:t>
      </w:r>
      <w:r w:rsidR="00082BBC" w:rsidRPr="00E659DE">
        <w:rPr>
          <w:rFonts w:cs="Arial"/>
        </w:rPr>
        <w:t>discussion</w:t>
      </w:r>
      <w:r>
        <w:rPr>
          <w:rFonts w:cs="Arial"/>
        </w:rPr>
        <w:t>s</w:t>
      </w:r>
      <w:r w:rsidR="00687FFD" w:rsidRPr="00E659DE">
        <w:rPr>
          <w:rFonts w:cs="Arial"/>
        </w:rPr>
        <w:t xml:space="preserve"> he complains of</w:t>
      </w:r>
      <w:r w:rsidRPr="00E659DE">
        <w:rPr>
          <w:rFonts w:cs="Arial"/>
        </w:rPr>
        <w:t xml:space="preserve"> here.</w:t>
      </w:r>
      <w:r>
        <w:rPr>
          <w:rFonts w:cs="Arial"/>
          <w:b/>
          <w:bCs/>
        </w:rPr>
        <w:t xml:space="preserve"> </w:t>
      </w:r>
      <w:r w:rsidR="007739A9" w:rsidRPr="0064603D">
        <w:rPr>
          <w:rFonts w:cs="Arial"/>
          <w:b/>
          <w:bCs/>
        </w:rPr>
        <w:t>Exhibit 1</w:t>
      </w:r>
      <w:r w:rsidR="007739A9">
        <w:rPr>
          <w:rFonts w:cs="Arial"/>
          <w:b/>
          <w:bCs/>
        </w:rPr>
        <w:t>2</w:t>
      </w:r>
      <w:r w:rsidR="007739A9" w:rsidRPr="0064603D">
        <w:rPr>
          <w:rFonts w:cs="Arial"/>
        </w:rPr>
        <w:t>,</w:t>
      </w:r>
      <w:r>
        <w:rPr>
          <w:rFonts w:cs="Arial"/>
        </w:rPr>
        <w:t xml:space="preserve"> </w:t>
      </w:r>
      <w:r w:rsidR="007739A9">
        <w:rPr>
          <w:rFonts w:cs="Arial"/>
        </w:rPr>
        <w:t>12/1/2022</w:t>
      </w:r>
      <w:r>
        <w:rPr>
          <w:rFonts w:cs="Arial"/>
        </w:rPr>
        <w:t xml:space="preserve"> email from Atty. Hymes. He offered </w:t>
      </w:r>
      <w:r w:rsidR="0064603D" w:rsidRPr="0064603D">
        <w:rPr>
          <w:rFonts w:cs="Arial"/>
        </w:rPr>
        <w:t>to settle the issue of access</w:t>
      </w:r>
      <w:r w:rsidR="00833EAB">
        <w:rPr>
          <w:rFonts w:cs="Arial"/>
        </w:rPr>
        <w:t xml:space="preserve"> </w:t>
      </w:r>
      <w:r w:rsidR="00A05D4B">
        <w:rPr>
          <w:rFonts w:cs="Arial"/>
        </w:rPr>
        <w:t>to avoid the motion</w:t>
      </w:r>
      <w:r w:rsidR="00015E91">
        <w:rPr>
          <w:rFonts w:cs="Arial"/>
        </w:rPr>
        <w:t xml:space="preserve">, but </w:t>
      </w:r>
      <w:r w:rsidR="005434E0">
        <w:rPr>
          <w:rFonts w:cs="Arial"/>
        </w:rPr>
        <w:t>a</w:t>
      </w:r>
      <w:r w:rsidR="001A2E75">
        <w:rPr>
          <w:rFonts w:cs="Arial"/>
        </w:rPr>
        <w:t xml:space="preserve">gain </w:t>
      </w:r>
      <w:r w:rsidR="00833EAB">
        <w:rPr>
          <w:rFonts w:cs="Arial"/>
        </w:rPr>
        <w:t>tr</w:t>
      </w:r>
      <w:r w:rsidR="005434E0">
        <w:rPr>
          <w:rFonts w:cs="Arial"/>
        </w:rPr>
        <w:t>ied</w:t>
      </w:r>
      <w:r w:rsidR="001A2E75">
        <w:rPr>
          <w:rFonts w:cs="Arial"/>
        </w:rPr>
        <w:t xml:space="preserve"> to </w:t>
      </w:r>
      <w:r>
        <w:rPr>
          <w:rFonts w:cs="Arial"/>
        </w:rPr>
        <w:t>avoid</w:t>
      </w:r>
      <w:r w:rsidR="001A2E75">
        <w:rPr>
          <w:rFonts w:cs="Arial"/>
        </w:rPr>
        <w:t xml:space="preserve"> access </w:t>
      </w:r>
      <w:r w:rsidR="00C831DD">
        <w:rPr>
          <w:rFonts w:cs="Arial"/>
        </w:rPr>
        <w:t xml:space="preserve">to </w:t>
      </w:r>
      <w:r w:rsidR="00803AFF">
        <w:rPr>
          <w:rFonts w:cs="Arial"/>
        </w:rPr>
        <w:t>an</w:t>
      </w:r>
      <w:r>
        <w:rPr>
          <w:rFonts w:cs="Arial"/>
        </w:rPr>
        <w:t xml:space="preserve"> </w:t>
      </w:r>
      <w:r w:rsidRPr="00E659DE">
        <w:rPr>
          <w:rFonts w:cs="Arial"/>
          <w:i/>
          <w:iCs/>
          <w:u w:val="single"/>
        </w:rPr>
        <w:t>identical</w:t>
      </w:r>
      <w:r>
        <w:rPr>
          <w:rFonts w:cs="Arial"/>
        </w:rPr>
        <w:t xml:space="preserve"> copy of Isam’s bank records </w:t>
      </w:r>
      <w:r w:rsidR="00803AFF">
        <w:rPr>
          <w:rFonts w:cs="Arial"/>
        </w:rPr>
        <w:t xml:space="preserve">that </w:t>
      </w:r>
      <w:r>
        <w:rPr>
          <w:rFonts w:cs="Arial"/>
        </w:rPr>
        <w:t xml:space="preserve">BFC had provided to </w:t>
      </w:r>
      <w:r w:rsidR="006609A9">
        <w:rPr>
          <w:rFonts w:cs="Arial"/>
        </w:rPr>
        <w:t>the police</w:t>
      </w:r>
      <w:r w:rsidR="00134ADD">
        <w:rPr>
          <w:rFonts w:cs="Arial"/>
        </w:rPr>
        <w:t>—</w:t>
      </w:r>
      <w:r w:rsidR="004A4798">
        <w:rPr>
          <w:rFonts w:cs="Arial"/>
        </w:rPr>
        <w:t>which</w:t>
      </w:r>
      <w:r w:rsidR="00833EAB">
        <w:rPr>
          <w:rFonts w:cs="Arial"/>
        </w:rPr>
        <w:t xml:space="preserve"> Isam </w:t>
      </w:r>
      <w:r w:rsidR="00134ADD">
        <w:rPr>
          <w:rFonts w:cs="Arial"/>
        </w:rPr>
        <w:t xml:space="preserve">has the right to </w:t>
      </w:r>
      <w:r w:rsidR="00833EAB">
        <w:rPr>
          <w:rFonts w:cs="Arial"/>
        </w:rPr>
        <w:t>demand under French FOIA law</w:t>
      </w:r>
      <w:r w:rsidR="005434E0">
        <w:rPr>
          <w:rFonts w:cs="Arial"/>
        </w:rPr>
        <w:t>s</w:t>
      </w:r>
      <w:r w:rsidR="00833EAB" w:rsidRPr="0064603D">
        <w:rPr>
          <w:rFonts w:cs="Arial"/>
        </w:rPr>
        <w:t>.</w:t>
      </w:r>
      <w:r w:rsidR="000428EE">
        <w:rPr>
          <w:rStyle w:val="FootnoteReference"/>
          <w:rFonts w:cs="Arial"/>
        </w:rPr>
        <w:footnoteReference w:id="6"/>
      </w:r>
      <w:r w:rsidR="00E84492">
        <w:rPr>
          <w:rFonts w:eastAsiaTheme="minorHAnsi" w:cs="Arial"/>
          <w:color w:val="060606"/>
          <w:szCs w:val="22"/>
        </w:rPr>
        <w:t xml:space="preserve"> </w:t>
      </w:r>
      <w:r w:rsidR="00BA081B">
        <w:rPr>
          <w:rFonts w:eastAsiaTheme="minorHAnsi" w:cs="Arial"/>
          <w:color w:val="060606"/>
          <w:szCs w:val="22"/>
        </w:rPr>
        <w:t xml:space="preserve">When Isam’s counsel continued to demur, </w:t>
      </w:r>
      <w:r w:rsidR="006609A9">
        <w:rPr>
          <w:rFonts w:eastAsiaTheme="minorHAnsi" w:cs="Arial"/>
          <w:color w:val="060606"/>
          <w:szCs w:val="22"/>
        </w:rPr>
        <w:t>Hamed</w:t>
      </w:r>
      <w:r w:rsidR="00BA081B">
        <w:rPr>
          <w:rFonts w:eastAsiaTheme="minorHAnsi" w:cs="Arial"/>
          <w:color w:val="060606"/>
          <w:szCs w:val="22"/>
        </w:rPr>
        <w:t>’s counsel</w:t>
      </w:r>
      <w:r w:rsidR="006609A9">
        <w:rPr>
          <w:rFonts w:eastAsiaTheme="minorHAnsi" w:cs="Arial"/>
          <w:color w:val="060606"/>
          <w:szCs w:val="22"/>
        </w:rPr>
        <w:t xml:space="preserve"> </w:t>
      </w:r>
      <w:r w:rsidR="00BA081B">
        <w:rPr>
          <w:rFonts w:eastAsiaTheme="minorHAnsi" w:cs="Arial"/>
          <w:color w:val="060606"/>
          <w:szCs w:val="22"/>
        </w:rPr>
        <w:t xml:space="preserve">then </w:t>
      </w:r>
      <w:r w:rsidR="00467FBC">
        <w:rPr>
          <w:rFonts w:eastAsiaTheme="minorHAnsi" w:cs="Arial"/>
          <w:color w:val="060606"/>
          <w:szCs w:val="22"/>
        </w:rPr>
        <w:t xml:space="preserve">sent an extensive </w:t>
      </w:r>
      <w:r w:rsidR="00E67CDB">
        <w:rPr>
          <w:rFonts w:eastAsiaTheme="minorHAnsi" w:cs="Arial"/>
          <w:color w:val="060606"/>
          <w:szCs w:val="22"/>
        </w:rPr>
        <w:t>response</w:t>
      </w:r>
      <w:r w:rsidR="00467FBC">
        <w:rPr>
          <w:rFonts w:eastAsiaTheme="minorHAnsi" w:cs="Arial"/>
          <w:color w:val="060606"/>
          <w:szCs w:val="22"/>
        </w:rPr>
        <w:t xml:space="preserve"> </w:t>
      </w:r>
      <w:r w:rsidR="00625071">
        <w:rPr>
          <w:rFonts w:eastAsiaTheme="minorHAnsi" w:cs="Arial"/>
          <w:color w:val="060606"/>
          <w:szCs w:val="22"/>
        </w:rPr>
        <w:t>reassur</w:t>
      </w:r>
      <w:r w:rsidR="00467FBC">
        <w:rPr>
          <w:rFonts w:eastAsiaTheme="minorHAnsi" w:cs="Arial"/>
          <w:color w:val="060606"/>
          <w:szCs w:val="22"/>
        </w:rPr>
        <w:t>ing</w:t>
      </w:r>
      <w:r w:rsidR="00625071">
        <w:rPr>
          <w:rFonts w:eastAsiaTheme="minorHAnsi" w:cs="Arial"/>
          <w:color w:val="060606"/>
          <w:szCs w:val="22"/>
        </w:rPr>
        <w:t xml:space="preserve"> </w:t>
      </w:r>
      <w:r w:rsidR="00BA081B">
        <w:rPr>
          <w:rFonts w:eastAsiaTheme="minorHAnsi" w:cs="Arial"/>
          <w:color w:val="060606"/>
          <w:szCs w:val="22"/>
        </w:rPr>
        <w:t xml:space="preserve">him </w:t>
      </w:r>
      <w:r w:rsidR="006609A9">
        <w:rPr>
          <w:rFonts w:eastAsiaTheme="minorHAnsi" w:cs="Arial"/>
          <w:color w:val="060606"/>
          <w:szCs w:val="22"/>
        </w:rPr>
        <w:t xml:space="preserve">that </w:t>
      </w:r>
      <w:r w:rsidR="00625071">
        <w:rPr>
          <w:rFonts w:eastAsiaTheme="minorHAnsi" w:cs="Arial"/>
          <w:color w:val="060606"/>
          <w:szCs w:val="22"/>
        </w:rPr>
        <w:t>Hamed</w:t>
      </w:r>
      <w:r w:rsidR="006609A9">
        <w:rPr>
          <w:rFonts w:eastAsiaTheme="minorHAnsi" w:cs="Arial"/>
          <w:color w:val="060606"/>
          <w:szCs w:val="22"/>
        </w:rPr>
        <w:t xml:space="preserve"> wanted </w:t>
      </w:r>
      <w:r w:rsidR="00833EAB">
        <w:rPr>
          <w:rFonts w:eastAsiaTheme="minorHAnsi" w:cs="Arial"/>
          <w:color w:val="060606"/>
          <w:szCs w:val="22"/>
        </w:rPr>
        <w:t xml:space="preserve">no police records or investigative reports—only </w:t>
      </w:r>
      <w:r w:rsidR="006609A9">
        <w:rPr>
          <w:rFonts w:eastAsiaTheme="minorHAnsi" w:cs="Arial"/>
          <w:color w:val="060606"/>
          <w:szCs w:val="22"/>
        </w:rPr>
        <w:t xml:space="preserve">access to </w:t>
      </w:r>
      <w:r>
        <w:rPr>
          <w:rFonts w:eastAsiaTheme="minorHAnsi" w:cs="Arial"/>
          <w:color w:val="060606"/>
          <w:szCs w:val="22"/>
        </w:rPr>
        <w:t xml:space="preserve">the police copy of </w:t>
      </w:r>
      <w:r w:rsidR="006609A9">
        <w:rPr>
          <w:rFonts w:eastAsiaTheme="minorHAnsi" w:cs="Arial"/>
          <w:color w:val="060606"/>
          <w:szCs w:val="22"/>
        </w:rPr>
        <w:t>th</w:t>
      </w:r>
      <w:r>
        <w:rPr>
          <w:rFonts w:eastAsiaTheme="minorHAnsi" w:cs="Arial"/>
          <w:color w:val="060606"/>
          <w:szCs w:val="22"/>
        </w:rPr>
        <w:t>os</w:t>
      </w:r>
      <w:r w:rsidR="006609A9">
        <w:rPr>
          <w:rFonts w:eastAsiaTheme="minorHAnsi" w:cs="Arial"/>
          <w:color w:val="060606"/>
          <w:szCs w:val="22"/>
        </w:rPr>
        <w:t xml:space="preserve">e </w:t>
      </w:r>
      <w:r w:rsidR="006609A9" w:rsidRPr="00625071">
        <w:rPr>
          <w:rFonts w:eastAsiaTheme="minorHAnsi" w:cs="Arial"/>
          <w:i/>
          <w:iCs/>
          <w:color w:val="060606"/>
          <w:szCs w:val="22"/>
        </w:rPr>
        <w:t xml:space="preserve">identical </w:t>
      </w:r>
      <w:r w:rsidR="00082BBC">
        <w:rPr>
          <w:rFonts w:eastAsiaTheme="minorHAnsi" w:cs="Arial"/>
          <w:color w:val="060606"/>
          <w:szCs w:val="22"/>
        </w:rPr>
        <w:t xml:space="preserve">BFC bank </w:t>
      </w:r>
      <w:r w:rsidR="006609A9">
        <w:rPr>
          <w:rFonts w:eastAsiaTheme="minorHAnsi" w:cs="Arial"/>
          <w:color w:val="060606"/>
          <w:szCs w:val="22"/>
        </w:rPr>
        <w:t>records</w:t>
      </w:r>
      <w:r w:rsidR="00BA081B">
        <w:rPr>
          <w:rFonts w:eastAsiaTheme="minorHAnsi" w:cs="Arial"/>
          <w:color w:val="060606"/>
          <w:szCs w:val="22"/>
        </w:rPr>
        <w:t xml:space="preserve"> being sought from BFC</w:t>
      </w:r>
      <w:r>
        <w:rPr>
          <w:rFonts w:eastAsiaTheme="minorHAnsi" w:cs="Arial"/>
          <w:color w:val="060606"/>
          <w:szCs w:val="22"/>
        </w:rPr>
        <w:t>—in the event BFC did not retain them</w:t>
      </w:r>
      <w:r w:rsidR="00BA081B">
        <w:rPr>
          <w:rFonts w:eastAsiaTheme="minorHAnsi" w:cs="Arial"/>
          <w:color w:val="060606"/>
          <w:szCs w:val="22"/>
        </w:rPr>
        <w:t xml:space="preserve">. </w:t>
      </w:r>
      <w:r w:rsidR="00E84492">
        <w:rPr>
          <w:rFonts w:eastAsiaTheme="minorHAnsi" w:cs="Arial"/>
          <w:color w:val="060606"/>
          <w:szCs w:val="22"/>
        </w:rPr>
        <w:t>(</w:t>
      </w:r>
      <w:r w:rsidR="00E84492" w:rsidRPr="006609A9">
        <w:rPr>
          <w:rFonts w:eastAsiaTheme="minorHAnsi" w:cs="Arial"/>
          <w:b/>
          <w:bCs/>
          <w:color w:val="060606"/>
          <w:szCs w:val="22"/>
        </w:rPr>
        <w:t>Exhibit 1</w:t>
      </w:r>
      <w:r w:rsidR="00015E91">
        <w:rPr>
          <w:rFonts w:eastAsiaTheme="minorHAnsi" w:cs="Arial"/>
          <w:b/>
          <w:bCs/>
          <w:color w:val="060606"/>
          <w:szCs w:val="22"/>
        </w:rPr>
        <w:t>3</w:t>
      </w:r>
      <w:r w:rsidR="0083486A">
        <w:rPr>
          <w:rFonts w:eastAsiaTheme="minorHAnsi" w:cs="Arial"/>
          <w:b/>
          <w:bCs/>
          <w:color w:val="060606"/>
          <w:szCs w:val="22"/>
        </w:rPr>
        <w:t xml:space="preserve">, </w:t>
      </w:r>
      <w:r w:rsidR="007739A9">
        <w:rPr>
          <w:rFonts w:eastAsiaTheme="minorHAnsi" w:cs="Arial"/>
          <w:color w:val="060606"/>
          <w:szCs w:val="22"/>
        </w:rPr>
        <w:t>12/6/2022 letter</w:t>
      </w:r>
      <w:r w:rsidR="00C831DD">
        <w:rPr>
          <w:rFonts w:eastAsiaTheme="minorHAnsi" w:cs="Arial"/>
          <w:color w:val="060606"/>
          <w:szCs w:val="22"/>
        </w:rPr>
        <w:t>.</w:t>
      </w:r>
      <w:r w:rsidR="00E84492">
        <w:rPr>
          <w:rFonts w:eastAsiaTheme="minorHAnsi" w:cs="Arial"/>
          <w:color w:val="060606"/>
          <w:szCs w:val="22"/>
        </w:rPr>
        <w:t xml:space="preserve">) </w:t>
      </w:r>
      <w:r w:rsidR="009B3FD2">
        <w:rPr>
          <w:rFonts w:eastAsiaTheme="minorHAnsi" w:cs="Arial"/>
          <w:color w:val="060606"/>
          <w:szCs w:val="22"/>
        </w:rPr>
        <w:t>Hartmann</w:t>
      </w:r>
      <w:r w:rsidR="00E84492">
        <w:rPr>
          <w:rFonts w:eastAsiaTheme="minorHAnsi" w:cs="Arial"/>
          <w:color w:val="060606"/>
          <w:szCs w:val="22"/>
        </w:rPr>
        <w:t xml:space="preserve"> expressly stated why criminal issues on St. Martin related to </w:t>
      </w:r>
      <w:r w:rsidR="006609A9">
        <w:rPr>
          <w:rFonts w:eastAsiaTheme="minorHAnsi" w:cs="Arial"/>
          <w:color w:val="060606"/>
          <w:szCs w:val="22"/>
        </w:rPr>
        <w:t xml:space="preserve">Isam’s own </w:t>
      </w:r>
      <w:r w:rsidR="00E84492">
        <w:rPr>
          <w:rFonts w:eastAsiaTheme="minorHAnsi" w:cs="Arial"/>
          <w:color w:val="060606"/>
          <w:szCs w:val="22"/>
        </w:rPr>
        <w:t xml:space="preserve">1996-2004 </w:t>
      </w:r>
      <w:r w:rsidR="006609A9">
        <w:rPr>
          <w:rFonts w:eastAsiaTheme="minorHAnsi" w:cs="Arial"/>
          <w:color w:val="060606"/>
          <w:szCs w:val="22"/>
        </w:rPr>
        <w:t>bank statements</w:t>
      </w:r>
      <w:r w:rsidR="00E84492">
        <w:rPr>
          <w:rFonts w:eastAsiaTheme="minorHAnsi" w:cs="Arial"/>
          <w:color w:val="060606"/>
          <w:szCs w:val="22"/>
        </w:rPr>
        <w:t xml:space="preserve"> would be </w:t>
      </w:r>
      <w:r w:rsidR="00E84492" w:rsidRPr="00C831DD">
        <w:rPr>
          <w:rFonts w:eastAsiaTheme="minorHAnsi" w:cs="Arial"/>
          <w:i/>
          <w:iCs/>
          <w:color w:val="060606"/>
          <w:szCs w:val="22"/>
        </w:rPr>
        <w:t>long</w:t>
      </w:r>
      <w:r w:rsidR="00E84492">
        <w:rPr>
          <w:rFonts w:eastAsiaTheme="minorHAnsi" w:cs="Arial"/>
          <w:color w:val="060606"/>
          <w:szCs w:val="22"/>
        </w:rPr>
        <w:t xml:space="preserve"> </w:t>
      </w:r>
      <w:r w:rsidR="0036771D">
        <w:rPr>
          <w:rFonts w:eastAsiaTheme="minorHAnsi" w:cs="Arial"/>
          <w:color w:val="060606"/>
          <w:szCs w:val="22"/>
        </w:rPr>
        <w:t>stale</w:t>
      </w:r>
      <w:r w:rsidR="00082BBC">
        <w:rPr>
          <w:rFonts w:eastAsiaTheme="minorHAnsi" w:cs="Arial"/>
          <w:color w:val="060606"/>
          <w:szCs w:val="22"/>
        </w:rPr>
        <w:t xml:space="preserve">—and </w:t>
      </w:r>
      <w:r w:rsidR="00625071">
        <w:rPr>
          <w:rFonts w:eastAsiaTheme="minorHAnsi" w:cs="Arial"/>
          <w:color w:val="060606"/>
          <w:szCs w:val="22"/>
        </w:rPr>
        <w:t>reaffirm</w:t>
      </w:r>
      <w:r w:rsidR="00BA081B">
        <w:rPr>
          <w:rFonts w:eastAsiaTheme="minorHAnsi" w:cs="Arial"/>
          <w:color w:val="060606"/>
          <w:szCs w:val="22"/>
        </w:rPr>
        <w:t>ed</w:t>
      </w:r>
      <w:r w:rsidR="00625071">
        <w:rPr>
          <w:rFonts w:eastAsiaTheme="minorHAnsi" w:cs="Arial"/>
          <w:color w:val="060606"/>
          <w:szCs w:val="22"/>
        </w:rPr>
        <w:t xml:space="preserve"> </w:t>
      </w:r>
      <w:r w:rsidR="00082BBC">
        <w:rPr>
          <w:rFonts w:eastAsiaTheme="minorHAnsi" w:cs="Arial"/>
          <w:color w:val="060606"/>
          <w:szCs w:val="22"/>
        </w:rPr>
        <w:t xml:space="preserve">Hamed’s </w:t>
      </w:r>
      <w:r w:rsidR="00BA081B" w:rsidRPr="00E659DE">
        <w:rPr>
          <w:rFonts w:eastAsiaTheme="minorHAnsi" w:cs="Arial"/>
          <w:i/>
          <w:iCs/>
          <w:color w:val="060606"/>
          <w:szCs w:val="22"/>
        </w:rPr>
        <w:t>written</w:t>
      </w:r>
      <w:r w:rsidR="009B3FD2" w:rsidRPr="00E659DE">
        <w:rPr>
          <w:rFonts w:eastAsiaTheme="minorHAnsi" w:cs="Arial"/>
          <w:i/>
          <w:iCs/>
          <w:color w:val="060606"/>
          <w:szCs w:val="22"/>
        </w:rPr>
        <w:t xml:space="preserve"> </w:t>
      </w:r>
      <w:r w:rsidR="00E67CDB" w:rsidRPr="00E659DE">
        <w:rPr>
          <w:rFonts w:eastAsiaTheme="minorHAnsi" w:cs="Arial"/>
          <w:i/>
          <w:iCs/>
          <w:color w:val="060606"/>
          <w:szCs w:val="22"/>
        </w:rPr>
        <w:t>representations</w:t>
      </w:r>
      <w:r w:rsidR="00E67CDB">
        <w:rPr>
          <w:rFonts w:eastAsiaTheme="minorHAnsi" w:cs="Arial"/>
          <w:color w:val="060606"/>
          <w:szCs w:val="22"/>
        </w:rPr>
        <w:t xml:space="preserve"> to th</w:t>
      </w:r>
      <w:r w:rsidR="00803AFF">
        <w:rPr>
          <w:rFonts w:eastAsiaTheme="minorHAnsi" w:cs="Arial"/>
          <w:color w:val="060606"/>
          <w:szCs w:val="22"/>
        </w:rPr>
        <w:t>is</w:t>
      </w:r>
      <w:r w:rsidR="00E67CDB">
        <w:rPr>
          <w:rFonts w:eastAsiaTheme="minorHAnsi" w:cs="Arial"/>
          <w:color w:val="060606"/>
          <w:szCs w:val="22"/>
        </w:rPr>
        <w:t xml:space="preserve"> Court,</w:t>
      </w:r>
      <w:r w:rsidR="009B3FD2">
        <w:rPr>
          <w:rFonts w:eastAsiaTheme="minorHAnsi" w:cs="Arial"/>
          <w:color w:val="060606"/>
          <w:szCs w:val="22"/>
        </w:rPr>
        <w:t xml:space="preserve"> confirming a total lack of interest in</w:t>
      </w:r>
      <w:r w:rsidR="0036771D">
        <w:rPr>
          <w:rFonts w:eastAsiaTheme="minorHAnsi" w:cs="Arial"/>
          <w:color w:val="060606"/>
          <w:szCs w:val="22"/>
        </w:rPr>
        <w:t xml:space="preserve"> </w:t>
      </w:r>
      <w:r w:rsidR="00803AFF">
        <w:rPr>
          <w:rFonts w:eastAsiaTheme="minorHAnsi" w:cs="Arial"/>
          <w:color w:val="060606"/>
          <w:szCs w:val="22"/>
        </w:rPr>
        <w:t xml:space="preserve">a </w:t>
      </w:r>
      <w:r w:rsidR="0036771D">
        <w:rPr>
          <w:rFonts w:eastAsiaTheme="minorHAnsi" w:cs="Arial"/>
          <w:color w:val="060606"/>
          <w:szCs w:val="22"/>
        </w:rPr>
        <w:t xml:space="preserve">criminal </w:t>
      </w:r>
      <w:r w:rsidR="009B3FD2">
        <w:rPr>
          <w:rFonts w:eastAsiaTheme="minorHAnsi" w:cs="Arial"/>
          <w:color w:val="060606"/>
          <w:szCs w:val="22"/>
        </w:rPr>
        <w:t>prosecution,</w:t>
      </w:r>
      <w:r w:rsidR="00803AFF">
        <w:rPr>
          <w:rFonts w:eastAsiaTheme="minorHAnsi" w:cs="Arial"/>
          <w:color w:val="060606"/>
          <w:szCs w:val="22"/>
        </w:rPr>
        <w:t xml:space="preserve"> As can </w:t>
      </w:r>
      <w:r w:rsidR="00C831DD">
        <w:rPr>
          <w:rFonts w:eastAsiaTheme="minorHAnsi" w:cs="Arial"/>
          <w:color w:val="060606"/>
          <w:szCs w:val="22"/>
        </w:rPr>
        <w:t xml:space="preserve">also </w:t>
      </w:r>
      <w:r w:rsidR="00803AFF">
        <w:rPr>
          <w:rFonts w:eastAsiaTheme="minorHAnsi" w:cs="Arial"/>
          <w:color w:val="060606"/>
          <w:szCs w:val="22"/>
        </w:rPr>
        <w:t xml:space="preserve">be seen, Hamed was </w:t>
      </w:r>
      <w:r w:rsidR="00803AFF" w:rsidRPr="00F37FA1">
        <w:rPr>
          <w:rFonts w:eastAsiaTheme="minorHAnsi" w:cs="Arial"/>
          <w:i/>
          <w:iCs/>
          <w:color w:val="060606"/>
          <w:szCs w:val="22"/>
        </w:rPr>
        <w:t xml:space="preserve">suggesting a </w:t>
      </w:r>
      <w:r w:rsidR="00C831DD" w:rsidRPr="00F37FA1">
        <w:rPr>
          <w:rFonts w:eastAsiaTheme="minorHAnsi" w:cs="Arial"/>
          <w:i/>
          <w:iCs/>
          <w:color w:val="060606"/>
          <w:szCs w:val="22"/>
        </w:rPr>
        <w:t xml:space="preserve">letter </w:t>
      </w:r>
      <w:r w:rsidR="00C831DD" w:rsidRPr="00F37FA1">
        <w:rPr>
          <w:rFonts w:eastAsiaTheme="minorHAnsi" w:cs="Arial"/>
          <w:i/>
          <w:iCs/>
          <w:color w:val="060606"/>
          <w:szCs w:val="22"/>
          <w:u w:val="single"/>
        </w:rPr>
        <w:t>jointly</w:t>
      </w:r>
      <w:r w:rsidR="00C831DD" w:rsidRPr="00F37FA1">
        <w:rPr>
          <w:rFonts w:eastAsiaTheme="minorHAnsi" w:cs="Arial"/>
          <w:i/>
          <w:iCs/>
          <w:color w:val="060606"/>
          <w:szCs w:val="22"/>
        </w:rPr>
        <w:t xml:space="preserve"> authored by Atty. Hymes</w:t>
      </w:r>
      <w:r w:rsidR="00C831DD">
        <w:rPr>
          <w:rFonts w:eastAsiaTheme="minorHAnsi" w:cs="Arial"/>
          <w:color w:val="060606"/>
          <w:szCs w:val="22"/>
        </w:rPr>
        <w:t xml:space="preserve">. </w:t>
      </w:r>
    </w:p>
    <w:p w14:paraId="0088978C" w14:textId="19828460" w:rsidR="00E84492" w:rsidRDefault="00E84492" w:rsidP="00E84492">
      <w:pPr>
        <w:autoSpaceDE w:val="0"/>
        <w:autoSpaceDN w:val="0"/>
        <w:adjustRightInd w:val="0"/>
        <w:ind w:left="720" w:right="720"/>
        <w:jc w:val="both"/>
        <w:outlineLvl w:val="0"/>
        <w:rPr>
          <w:rFonts w:eastAsiaTheme="minorHAnsi" w:cs="Arial"/>
          <w:color w:val="000000"/>
          <w:szCs w:val="22"/>
        </w:rPr>
      </w:pPr>
      <w:r w:rsidRPr="00E84492">
        <w:rPr>
          <w:rFonts w:eastAsiaTheme="minorHAnsi" w:cs="Arial"/>
          <w:color w:val="000000"/>
          <w:szCs w:val="22"/>
        </w:rPr>
        <w:lastRenderedPageBreak/>
        <w:t xml:space="preserve">RE: Basis for Request to STM Police and Prosecutor </w:t>
      </w:r>
    </w:p>
    <w:p w14:paraId="455B0710" w14:textId="77777777" w:rsidR="00E84492" w:rsidRPr="00377B8D" w:rsidRDefault="00E84492" w:rsidP="00E84492">
      <w:pPr>
        <w:autoSpaceDE w:val="0"/>
        <w:autoSpaceDN w:val="0"/>
        <w:adjustRightInd w:val="0"/>
        <w:ind w:left="720" w:right="720"/>
        <w:jc w:val="both"/>
        <w:outlineLvl w:val="0"/>
        <w:rPr>
          <w:rFonts w:eastAsiaTheme="minorHAnsi" w:cs="Arial"/>
          <w:color w:val="000000"/>
          <w:sz w:val="8"/>
          <w:szCs w:val="8"/>
        </w:rPr>
      </w:pPr>
    </w:p>
    <w:p w14:paraId="132A8225" w14:textId="77777777" w:rsidR="00E84492" w:rsidRPr="00E84492" w:rsidRDefault="00E84492" w:rsidP="00E84492">
      <w:pPr>
        <w:autoSpaceDE w:val="0"/>
        <w:autoSpaceDN w:val="0"/>
        <w:adjustRightInd w:val="0"/>
        <w:ind w:left="720" w:right="720"/>
        <w:jc w:val="both"/>
        <w:outlineLvl w:val="0"/>
        <w:rPr>
          <w:rFonts w:eastAsiaTheme="minorHAnsi" w:cs="Arial"/>
          <w:color w:val="000000"/>
          <w:szCs w:val="22"/>
        </w:rPr>
      </w:pPr>
      <w:r w:rsidRPr="00E84492">
        <w:rPr>
          <w:rFonts w:eastAsiaTheme="minorHAnsi" w:cs="Arial"/>
          <w:color w:val="000000"/>
          <w:szCs w:val="22"/>
        </w:rPr>
        <w:t xml:space="preserve">Jim: </w:t>
      </w:r>
    </w:p>
    <w:p w14:paraId="16D80162" w14:textId="77777777" w:rsidR="00E84492" w:rsidRPr="00377B8D" w:rsidRDefault="00E84492" w:rsidP="00E84492">
      <w:pPr>
        <w:autoSpaceDE w:val="0"/>
        <w:autoSpaceDN w:val="0"/>
        <w:adjustRightInd w:val="0"/>
        <w:ind w:left="720" w:right="720"/>
        <w:jc w:val="both"/>
        <w:outlineLvl w:val="0"/>
        <w:rPr>
          <w:rFonts w:eastAsiaTheme="minorHAnsi" w:cs="Arial"/>
          <w:color w:val="000000"/>
          <w:sz w:val="8"/>
          <w:szCs w:val="8"/>
        </w:rPr>
      </w:pPr>
    </w:p>
    <w:p w14:paraId="60CF8654" w14:textId="2C7C241F" w:rsidR="00E84492" w:rsidRDefault="003065FE" w:rsidP="006609A9">
      <w:pPr>
        <w:autoSpaceDE w:val="0"/>
        <w:autoSpaceDN w:val="0"/>
        <w:adjustRightInd w:val="0"/>
        <w:ind w:left="720" w:right="720"/>
        <w:jc w:val="both"/>
        <w:outlineLvl w:val="0"/>
        <w:rPr>
          <w:rFonts w:eastAsiaTheme="minorHAnsi" w:cs="Arial"/>
          <w:color w:val="000000"/>
          <w:szCs w:val="22"/>
        </w:rPr>
      </w:pPr>
      <w:r>
        <w:rPr>
          <w:rFonts w:eastAsiaTheme="minorHAnsi" w:cs="Arial"/>
          <w:color w:val="000000"/>
          <w:szCs w:val="22"/>
        </w:rPr>
        <w:t xml:space="preserve">  </w:t>
      </w:r>
      <w:r w:rsidR="006609A9">
        <w:rPr>
          <w:rFonts w:eastAsiaTheme="minorHAnsi" w:cs="Arial"/>
          <w:color w:val="000000"/>
          <w:szCs w:val="22"/>
        </w:rPr>
        <w:t xml:space="preserve"> </w:t>
      </w:r>
      <w:r w:rsidR="00E84492" w:rsidRPr="00E84492">
        <w:rPr>
          <w:rFonts w:eastAsiaTheme="minorHAnsi" w:cs="Arial"/>
          <w:color w:val="000000"/>
          <w:szCs w:val="22"/>
        </w:rPr>
        <w:t xml:space="preserve">This letter is in response to your letter of today, December 6, 2022. I write to try to assuage your concerns and give you guarantees that neither the Hameds (nor counsel) have ANY interest in any criminal proceedings. </w:t>
      </w:r>
    </w:p>
    <w:p w14:paraId="14613566" w14:textId="002F26C9" w:rsidR="00E84492" w:rsidRPr="00E84492" w:rsidRDefault="003065FE" w:rsidP="00E84492">
      <w:pPr>
        <w:autoSpaceDE w:val="0"/>
        <w:autoSpaceDN w:val="0"/>
        <w:adjustRightInd w:val="0"/>
        <w:ind w:left="720" w:right="720"/>
        <w:jc w:val="both"/>
        <w:outlineLvl w:val="0"/>
        <w:rPr>
          <w:rFonts w:eastAsiaTheme="minorHAnsi" w:cs="Arial"/>
          <w:color w:val="000000"/>
          <w:szCs w:val="22"/>
        </w:rPr>
      </w:pPr>
      <w:r>
        <w:rPr>
          <w:rFonts w:eastAsiaTheme="minorHAnsi" w:cs="Arial"/>
          <w:color w:val="000000"/>
          <w:szCs w:val="22"/>
        </w:rPr>
        <w:t xml:space="preserve">   </w:t>
      </w:r>
      <w:r w:rsidR="00E84492" w:rsidRPr="00E84492">
        <w:rPr>
          <w:rFonts w:eastAsiaTheme="minorHAnsi" w:cs="Arial"/>
          <w:color w:val="000000"/>
          <w:szCs w:val="22"/>
        </w:rPr>
        <w:t xml:space="preserve">Perhaps the draft of the proposed order is unclear—I have changed the language to be more so. Hamed has no interest in police and prosecutorial records regarding Isam. The sole target of the proposed order is a </w:t>
      </w:r>
      <w:r w:rsidR="00082BBC">
        <w:rPr>
          <w:rFonts w:eastAsiaTheme="minorHAnsi" w:cs="Arial"/>
          <w:color w:val="000000"/>
          <w:szCs w:val="22"/>
        </w:rPr>
        <w:t>k</w:t>
      </w:r>
      <w:r w:rsidR="00E84492" w:rsidRPr="00E84492">
        <w:rPr>
          <w:rFonts w:eastAsiaTheme="minorHAnsi" w:cs="Arial"/>
          <w:color w:val="000000"/>
          <w:szCs w:val="22"/>
        </w:rPr>
        <w:t xml:space="preserve">nown, well-defined collection of </w:t>
      </w:r>
      <w:r w:rsidR="00E84492" w:rsidRPr="00E84492">
        <w:rPr>
          <w:rFonts w:eastAsiaTheme="minorHAnsi" w:cs="Arial"/>
          <w:b/>
          <w:bCs/>
          <w:color w:val="000000"/>
          <w:szCs w:val="22"/>
        </w:rPr>
        <w:t>Isam’s own banking records for the period from 1996 to 2004</w:t>
      </w:r>
      <w:r w:rsidR="00E84492" w:rsidRPr="00E84492">
        <w:rPr>
          <w:rFonts w:eastAsiaTheme="minorHAnsi" w:cs="Arial"/>
          <w:color w:val="000000"/>
          <w:szCs w:val="22"/>
        </w:rPr>
        <w:t xml:space="preserve">—to the extent that the police and/or prosecutor have those records, </w:t>
      </w:r>
      <w:r w:rsidR="00E84492" w:rsidRPr="00BA081B">
        <w:rPr>
          <w:rFonts w:eastAsiaTheme="minorHAnsi" w:cs="Arial"/>
          <w:b/>
          <w:bCs/>
          <w:color w:val="000000"/>
          <w:szCs w:val="22"/>
        </w:rPr>
        <w:t>as already supplied to them from BFC</w:t>
      </w:r>
      <w:r w:rsidR="00E84492" w:rsidRPr="00E84492">
        <w:rPr>
          <w:rFonts w:eastAsiaTheme="minorHAnsi" w:cs="Arial"/>
          <w:color w:val="000000"/>
          <w:szCs w:val="22"/>
        </w:rPr>
        <w:t xml:space="preserve">. </w:t>
      </w:r>
    </w:p>
    <w:p w14:paraId="704A42FF" w14:textId="2CDBD887" w:rsidR="00E84492" w:rsidRPr="00E84492" w:rsidRDefault="00803AFF" w:rsidP="00E84492">
      <w:pPr>
        <w:autoSpaceDE w:val="0"/>
        <w:autoSpaceDN w:val="0"/>
        <w:adjustRightInd w:val="0"/>
        <w:ind w:left="720" w:right="720"/>
        <w:jc w:val="both"/>
        <w:outlineLvl w:val="0"/>
        <w:rPr>
          <w:rFonts w:eastAsiaTheme="minorHAnsi" w:cs="Arial"/>
          <w:color w:val="000000"/>
          <w:szCs w:val="22"/>
        </w:rPr>
      </w:pPr>
      <w:r>
        <w:rPr>
          <w:rFonts w:eastAsiaTheme="minorHAnsi" w:cs="Arial"/>
          <w:color w:val="000000"/>
          <w:szCs w:val="22"/>
        </w:rPr>
        <w:t xml:space="preserve">    </w:t>
      </w:r>
      <w:r w:rsidR="00E84492" w:rsidRPr="00E84492">
        <w:rPr>
          <w:rFonts w:eastAsiaTheme="minorHAnsi" w:cs="Arial"/>
          <w:color w:val="000000"/>
          <w:szCs w:val="22"/>
        </w:rPr>
        <w:t>Thus, I have changed the operative language to make this clear.</w:t>
      </w:r>
      <w:r w:rsidR="003065FE">
        <w:rPr>
          <w:rFonts w:eastAsiaTheme="minorHAnsi" w:cs="Arial"/>
          <w:color w:val="000000"/>
          <w:szCs w:val="22"/>
        </w:rPr>
        <w:t xml:space="preserve"> </w:t>
      </w:r>
    </w:p>
    <w:p w14:paraId="6BF932A3" w14:textId="64BDC0D2" w:rsidR="00E84492" w:rsidRPr="00E84492" w:rsidRDefault="00BA081B" w:rsidP="00E84492">
      <w:pPr>
        <w:autoSpaceDE w:val="0"/>
        <w:autoSpaceDN w:val="0"/>
        <w:adjustRightInd w:val="0"/>
        <w:ind w:left="720" w:right="720"/>
        <w:jc w:val="both"/>
        <w:outlineLvl w:val="0"/>
        <w:rPr>
          <w:rFonts w:eastAsiaTheme="minorHAnsi" w:cs="Arial"/>
          <w:color w:val="000000"/>
          <w:szCs w:val="22"/>
        </w:rPr>
      </w:pPr>
      <w:r>
        <w:rPr>
          <w:rFonts w:eastAsiaTheme="minorHAnsi" w:cs="Arial"/>
          <w:color w:val="000000"/>
          <w:szCs w:val="22"/>
        </w:rPr>
        <w:t xml:space="preserve">    </w:t>
      </w:r>
      <w:r w:rsidR="00E659DE">
        <w:rPr>
          <w:rFonts w:eastAsiaTheme="minorHAnsi" w:cs="Arial"/>
          <w:color w:val="000000"/>
          <w:szCs w:val="22"/>
        </w:rPr>
        <w:t xml:space="preserve"> </w:t>
      </w:r>
      <w:r w:rsidR="00E84492" w:rsidRPr="00E84492">
        <w:rPr>
          <w:rFonts w:eastAsiaTheme="minorHAnsi" w:cs="Arial"/>
          <w:color w:val="000000"/>
          <w:szCs w:val="22"/>
        </w:rPr>
        <w:t xml:space="preserve">In 2001-2004 several investigations were done on STM into the records of Isam and Island Appliance: (1) by the French Banking Commission, (2) by the St. Martin Judicial Police Branch, (3) and by the US DOJ/FBI. As part of that investigation (as attached to and shown in the motion at Exhibit 7, 8, 9 and 10) </w:t>
      </w:r>
      <w:r w:rsidR="00E84492" w:rsidRPr="00E84492">
        <w:rPr>
          <w:rFonts w:eastAsiaTheme="minorHAnsi" w:cs="Arial"/>
          <w:i/>
          <w:iCs/>
          <w:color w:val="000000"/>
          <w:szCs w:val="22"/>
        </w:rPr>
        <w:t>a set of Isam’s banking records up to that date were provided to the police and prosecutor</w:t>
      </w:r>
      <w:r w:rsidR="00E84492" w:rsidRPr="00E84492">
        <w:rPr>
          <w:rFonts w:eastAsiaTheme="minorHAnsi" w:cs="Arial"/>
          <w:color w:val="000000"/>
          <w:szCs w:val="22"/>
        </w:rPr>
        <w:t xml:space="preserve">. Exhibit 9 is the subpoena from the police/prosecutor to the bank, BFC. Exhibit 10 (July 3, 2002) is the BFC letter confirming that Isam’s and Island Appliances documents were collected, </w:t>
      </w:r>
      <w:proofErr w:type="gramStart"/>
      <w:r w:rsidR="00E84492" w:rsidRPr="00E84492">
        <w:rPr>
          <w:rFonts w:eastAsiaTheme="minorHAnsi" w:cs="Arial"/>
          <w:color w:val="000000"/>
          <w:szCs w:val="22"/>
        </w:rPr>
        <w:t>copied</w:t>
      </w:r>
      <w:proofErr w:type="gramEnd"/>
      <w:r w:rsidR="00E84492" w:rsidRPr="00E84492">
        <w:rPr>
          <w:rFonts w:eastAsiaTheme="minorHAnsi" w:cs="Arial"/>
          <w:color w:val="000000"/>
          <w:szCs w:val="22"/>
        </w:rPr>
        <w:t xml:space="preserve"> and sent to the police prosecutor. Exhibit 8 is the (May 14, 2003) Police report on that investigation relating their findings. </w:t>
      </w:r>
    </w:p>
    <w:p w14:paraId="521876BF" w14:textId="23D0F3A0" w:rsidR="00E84492" w:rsidRPr="00E84492" w:rsidRDefault="00C831DD" w:rsidP="00E84492">
      <w:pPr>
        <w:autoSpaceDE w:val="0"/>
        <w:autoSpaceDN w:val="0"/>
        <w:adjustRightInd w:val="0"/>
        <w:ind w:left="720" w:right="720"/>
        <w:jc w:val="both"/>
        <w:outlineLvl w:val="0"/>
        <w:rPr>
          <w:rFonts w:eastAsiaTheme="minorHAnsi" w:cs="Arial"/>
          <w:color w:val="000000"/>
          <w:szCs w:val="22"/>
        </w:rPr>
      </w:pPr>
      <w:r>
        <w:rPr>
          <w:rFonts w:eastAsiaTheme="minorHAnsi" w:cs="Arial"/>
          <w:color w:val="000000"/>
          <w:szCs w:val="22"/>
        </w:rPr>
        <w:t xml:space="preserve">     </w:t>
      </w:r>
      <w:r w:rsidR="00E84492" w:rsidRPr="00E84492">
        <w:rPr>
          <w:rFonts w:eastAsiaTheme="minorHAnsi" w:cs="Arial"/>
          <w:color w:val="000000"/>
          <w:szCs w:val="22"/>
        </w:rPr>
        <w:t xml:space="preserve">All that Hamed is asking Isam to do is obtain permissions to seek item #2—Isam’s own BFC back account records for 1996-2004 that have already been collected and sent. No police records, period. We ask for a letter of permission because all three (BFC, the police and the prosecutor) are expressly known to have </w:t>
      </w:r>
      <w:r w:rsidR="00E84492" w:rsidRPr="00E84492">
        <w:rPr>
          <w:rFonts w:eastAsiaTheme="minorHAnsi" w:cs="Arial"/>
          <w:i/>
          <w:iCs/>
          <w:color w:val="000000"/>
          <w:szCs w:val="22"/>
        </w:rPr>
        <w:t>that specific set of documents</w:t>
      </w:r>
      <w:r w:rsidR="00E84492" w:rsidRPr="00E84492">
        <w:rPr>
          <w:rFonts w:eastAsiaTheme="minorHAnsi" w:cs="Arial"/>
          <w:color w:val="000000"/>
          <w:szCs w:val="22"/>
        </w:rPr>
        <w:t xml:space="preserve">—because of what BFC said in its letter—that they had been collected and sent. </w:t>
      </w:r>
    </w:p>
    <w:p w14:paraId="32D8F66E" w14:textId="441AF4E5" w:rsidR="00E84492" w:rsidRPr="00E84492" w:rsidRDefault="003065FE" w:rsidP="00E84492">
      <w:pPr>
        <w:autoSpaceDE w:val="0"/>
        <w:autoSpaceDN w:val="0"/>
        <w:adjustRightInd w:val="0"/>
        <w:ind w:left="720" w:right="720"/>
        <w:jc w:val="both"/>
        <w:outlineLvl w:val="0"/>
        <w:rPr>
          <w:rFonts w:eastAsiaTheme="minorHAnsi" w:cs="Arial"/>
          <w:color w:val="000000"/>
          <w:szCs w:val="22"/>
        </w:rPr>
      </w:pPr>
      <w:r>
        <w:rPr>
          <w:rFonts w:eastAsiaTheme="minorHAnsi" w:cs="Arial"/>
          <w:color w:val="000000"/>
          <w:szCs w:val="22"/>
        </w:rPr>
        <w:t xml:space="preserve">  </w:t>
      </w:r>
      <w:r w:rsidR="00E84492">
        <w:rPr>
          <w:rFonts w:eastAsiaTheme="minorHAnsi" w:cs="Arial"/>
          <w:color w:val="000000"/>
          <w:szCs w:val="22"/>
        </w:rPr>
        <w:t xml:space="preserve"> </w:t>
      </w:r>
      <w:r w:rsidR="00C831DD">
        <w:rPr>
          <w:rFonts w:eastAsiaTheme="minorHAnsi" w:cs="Arial"/>
          <w:color w:val="000000"/>
          <w:szCs w:val="22"/>
        </w:rPr>
        <w:t xml:space="preserve"> </w:t>
      </w:r>
      <w:r w:rsidR="00E84492" w:rsidRPr="00501CB5">
        <w:rPr>
          <w:rFonts w:eastAsiaTheme="minorHAnsi" w:cs="Arial"/>
          <w:color w:val="000000"/>
          <w:szCs w:val="22"/>
        </w:rPr>
        <w:t xml:space="preserve">Hamed is not seeking any other records, </w:t>
      </w:r>
      <w:r w:rsidR="004A4798" w:rsidRPr="00501CB5">
        <w:rPr>
          <w:rFonts w:eastAsiaTheme="minorHAnsi" w:cs="Arial"/>
          <w:color w:val="000000"/>
          <w:szCs w:val="22"/>
        </w:rPr>
        <w:t>information,</w:t>
      </w:r>
      <w:r w:rsidR="00E84492" w:rsidRPr="00501CB5">
        <w:rPr>
          <w:rFonts w:eastAsiaTheme="minorHAnsi" w:cs="Arial"/>
          <w:color w:val="000000"/>
          <w:szCs w:val="22"/>
        </w:rPr>
        <w:t xml:space="preserve"> or actions. And </w:t>
      </w:r>
      <w:r w:rsidR="00E84492" w:rsidRPr="00501CB5">
        <w:rPr>
          <w:rFonts w:eastAsiaTheme="minorHAnsi" w:cs="Arial"/>
          <w:b/>
          <w:bCs/>
          <w:color w:val="000000"/>
          <w:szCs w:val="22"/>
        </w:rPr>
        <w:t>the letter will be specific as to what it seeks—</w:t>
      </w:r>
      <w:r w:rsidR="00E84492" w:rsidRPr="00E84492">
        <w:rPr>
          <w:rFonts w:eastAsiaTheme="minorHAnsi" w:cs="Arial"/>
          <w:b/>
          <w:bCs/>
          <w:i/>
          <w:iCs/>
          <w:color w:val="000000"/>
          <w:szCs w:val="22"/>
          <w:u w:val="single"/>
        </w:rPr>
        <w:t>you and I will jointly draft it</w:t>
      </w:r>
      <w:r w:rsidR="00E84492" w:rsidRPr="00E84492">
        <w:rPr>
          <w:rFonts w:eastAsiaTheme="minorHAnsi" w:cs="Arial"/>
          <w:b/>
          <w:bCs/>
          <w:color w:val="000000"/>
          <w:szCs w:val="22"/>
        </w:rPr>
        <w:t>.</w:t>
      </w:r>
      <w:r w:rsidR="00E84492" w:rsidRPr="00E84492">
        <w:rPr>
          <w:rFonts w:eastAsiaTheme="minorHAnsi" w:cs="Arial"/>
          <w:color w:val="000000"/>
          <w:szCs w:val="22"/>
        </w:rPr>
        <w:t xml:space="preserve"> Moreover, these matters are LONG, LONG over on STM. These are acts in 1996-2004 which have been fully investigated there. Time limits for any prosecution have long passed. There is no criminal jeopardy there for those old records. </w:t>
      </w:r>
    </w:p>
    <w:p w14:paraId="48729A2D" w14:textId="4F198436" w:rsidR="00E84492" w:rsidRPr="00E84492" w:rsidRDefault="003065FE" w:rsidP="00E84492">
      <w:pPr>
        <w:autoSpaceDE w:val="0"/>
        <w:autoSpaceDN w:val="0"/>
        <w:adjustRightInd w:val="0"/>
        <w:ind w:left="720" w:right="720"/>
        <w:jc w:val="both"/>
        <w:outlineLvl w:val="0"/>
        <w:rPr>
          <w:rFonts w:eastAsiaTheme="minorHAnsi" w:cs="Arial"/>
          <w:color w:val="000000"/>
          <w:szCs w:val="22"/>
        </w:rPr>
      </w:pPr>
      <w:r>
        <w:rPr>
          <w:rFonts w:eastAsiaTheme="minorHAnsi" w:cs="Arial"/>
          <w:color w:val="000000"/>
          <w:szCs w:val="22"/>
        </w:rPr>
        <w:t xml:space="preserve">  </w:t>
      </w:r>
      <w:r w:rsidR="00E84492">
        <w:rPr>
          <w:rFonts w:eastAsiaTheme="minorHAnsi" w:cs="Arial"/>
          <w:color w:val="000000"/>
          <w:szCs w:val="22"/>
        </w:rPr>
        <w:t xml:space="preserve"> </w:t>
      </w:r>
      <w:r w:rsidR="00E84492" w:rsidRPr="00BA081B">
        <w:rPr>
          <w:rFonts w:eastAsiaTheme="minorHAnsi" w:cs="Arial"/>
          <w:b/>
          <w:bCs/>
          <w:color w:val="000000"/>
          <w:szCs w:val="22"/>
        </w:rPr>
        <w:t>I note that nobody, from here or our St</w:t>
      </w:r>
      <w:r w:rsidR="00501CB5">
        <w:rPr>
          <w:rFonts w:eastAsiaTheme="minorHAnsi" w:cs="Arial"/>
          <w:b/>
          <w:bCs/>
          <w:color w:val="000000"/>
          <w:szCs w:val="22"/>
        </w:rPr>
        <w:t>.</w:t>
      </w:r>
      <w:r w:rsidR="00E84492" w:rsidRPr="00BA081B">
        <w:rPr>
          <w:rFonts w:eastAsiaTheme="minorHAnsi" w:cs="Arial"/>
          <w:b/>
          <w:bCs/>
          <w:color w:val="000000"/>
          <w:szCs w:val="22"/>
        </w:rPr>
        <w:t xml:space="preserve"> Martin’s counsel’s office has had any contact or communications with BFC, the police or the prosecutor on these matters.</w:t>
      </w:r>
      <w:r w:rsidR="00E84492" w:rsidRPr="00E84492">
        <w:rPr>
          <w:rFonts w:eastAsiaTheme="minorHAnsi" w:cs="Arial"/>
          <w:color w:val="000000"/>
          <w:szCs w:val="22"/>
        </w:rPr>
        <w:t xml:space="preserve"> All of the referenced documents are from either Fathi Yusuf’s counsel in discovery, the FBI (back in </w:t>
      </w:r>
      <w:r w:rsidR="00E84492">
        <w:rPr>
          <w:rFonts w:eastAsiaTheme="minorHAnsi" w:cs="Arial"/>
          <w:color w:val="000000"/>
          <w:szCs w:val="22"/>
        </w:rPr>
        <w:t>t</w:t>
      </w:r>
      <w:r w:rsidR="00E84492" w:rsidRPr="00E84492">
        <w:rPr>
          <w:rFonts w:eastAsiaTheme="minorHAnsi" w:cs="Arial"/>
          <w:color w:val="000000"/>
          <w:szCs w:val="22"/>
        </w:rPr>
        <w:t>he 2000’s</w:t>
      </w:r>
      <w:r w:rsidR="00501CB5">
        <w:rPr>
          <w:rFonts w:eastAsiaTheme="minorHAnsi" w:cs="Arial"/>
          <w:color w:val="000000"/>
          <w:szCs w:val="22"/>
        </w:rPr>
        <w:t>)</w:t>
      </w:r>
      <w:r w:rsidR="00E84492" w:rsidRPr="00E84492">
        <w:rPr>
          <w:rFonts w:eastAsiaTheme="minorHAnsi" w:cs="Arial"/>
          <w:color w:val="000000"/>
          <w:szCs w:val="22"/>
        </w:rPr>
        <w:t xml:space="preserve"> or the DOJ (same). Nor have the Hameds or any of their counsel had any contact or communications with USVI police, US law enforcement, the </w:t>
      </w:r>
      <w:r w:rsidR="004A4798" w:rsidRPr="00E84492">
        <w:rPr>
          <w:rFonts w:eastAsiaTheme="minorHAnsi" w:cs="Arial"/>
          <w:color w:val="000000"/>
          <w:szCs w:val="22"/>
        </w:rPr>
        <w:t>DOJ,</w:t>
      </w:r>
      <w:r w:rsidR="00E84492" w:rsidRPr="00E84492">
        <w:rPr>
          <w:rFonts w:eastAsiaTheme="minorHAnsi" w:cs="Arial"/>
          <w:color w:val="000000"/>
          <w:szCs w:val="22"/>
        </w:rPr>
        <w:t xml:space="preserve"> or any other entity with regard to criminal matters. As was recently stated in Hamed’s </w:t>
      </w:r>
      <w:r w:rsidR="00E84492" w:rsidRPr="00E84492">
        <w:rPr>
          <w:rFonts w:eastAsiaTheme="minorHAnsi" w:cs="Arial"/>
          <w:i/>
          <w:iCs/>
          <w:color w:val="000000"/>
          <w:szCs w:val="22"/>
        </w:rPr>
        <w:t>Third Motion to Compel as to the 5</w:t>
      </w:r>
      <w:r w:rsidR="00E84492" w:rsidRPr="00E84492">
        <w:rPr>
          <w:rFonts w:eastAsiaTheme="minorHAnsi" w:cs="Arial"/>
          <w:i/>
          <w:iCs/>
          <w:color w:val="000000"/>
          <w:szCs w:val="14"/>
        </w:rPr>
        <w:t xml:space="preserve">th </w:t>
      </w:r>
      <w:r w:rsidR="00E84492" w:rsidRPr="00E84492">
        <w:rPr>
          <w:rFonts w:eastAsiaTheme="minorHAnsi" w:cs="Arial"/>
          <w:i/>
          <w:iCs/>
          <w:color w:val="000000"/>
          <w:szCs w:val="22"/>
        </w:rPr>
        <w:t>Amendment</w:t>
      </w:r>
      <w:r w:rsidR="00E84492" w:rsidRPr="00E84492">
        <w:rPr>
          <w:rFonts w:eastAsiaTheme="minorHAnsi" w:cs="Arial"/>
          <w:color w:val="000000"/>
          <w:szCs w:val="22"/>
        </w:rPr>
        <w:t xml:space="preserve">: </w:t>
      </w:r>
    </w:p>
    <w:p w14:paraId="6F917D5F" w14:textId="77777777" w:rsidR="00E84492" w:rsidRPr="00E84492" w:rsidRDefault="00E84492" w:rsidP="00E6323B">
      <w:pPr>
        <w:autoSpaceDE w:val="0"/>
        <w:autoSpaceDN w:val="0"/>
        <w:adjustRightInd w:val="0"/>
        <w:ind w:left="1008" w:right="720"/>
        <w:jc w:val="both"/>
        <w:outlineLvl w:val="0"/>
        <w:rPr>
          <w:rFonts w:eastAsiaTheme="minorHAnsi" w:cs="Arial"/>
          <w:color w:val="000000"/>
          <w:szCs w:val="22"/>
        </w:rPr>
      </w:pPr>
      <w:r w:rsidRPr="00E84492">
        <w:rPr>
          <w:rFonts w:eastAsiaTheme="minorHAnsi" w:cs="Arial"/>
          <w:color w:val="000000"/>
          <w:szCs w:val="22"/>
        </w:rPr>
        <w:t xml:space="preserve">1. Hamed is NOT hostile to Yusuf taking the Fifth if he wishes—or Isam, Jamil or Manal. That motion did not seek to stop assertion of the right. </w:t>
      </w:r>
    </w:p>
    <w:p w14:paraId="42E6C155" w14:textId="77777777" w:rsidR="00E84492" w:rsidRPr="00E67CDB" w:rsidRDefault="00E84492" w:rsidP="00E6323B">
      <w:pPr>
        <w:autoSpaceDE w:val="0"/>
        <w:autoSpaceDN w:val="0"/>
        <w:adjustRightInd w:val="0"/>
        <w:ind w:left="1008" w:right="720"/>
        <w:jc w:val="both"/>
        <w:outlineLvl w:val="0"/>
        <w:rPr>
          <w:rFonts w:eastAsiaTheme="minorHAnsi" w:cs="Arial"/>
          <w:b/>
          <w:bCs/>
          <w:color w:val="000000"/>
          <w:szCs w:val="23"/>
        </w:rPr>
      </w:pPr>
      <w:r w:rsidRPr="00E84492">
        <w:rPr>
          <w:rFonts w:eastAsiaTheme="minorHAnsi" w:cs="Arial"/>
          <w:color w:val="000000"/>
          <w:szCs w:val="23"/>
        </w:rPr>
        <w:t xml:space="preserve">2. </w:t>
      </w:r>
      <w:r w:rsidRPr="00E67CDB">
        <w:rPr>
          <w:rFonts w:eastAsiaTheme="minorHAnsi" w:cs="Arial"/>
          <w:b/>
          <w:bCs/>
          <w:color w:val="000000"/>
          <w:szCs w:val="23"/>
        </w:rPr>
        <w:t xml:space="preserve">And, at page 4, Hamed asserts “He [Fathi] has been informed that Hamed does not know of, nor will he seek any such prosecution against Fathi for these matters.” </w:t>
      </w:r>
    </w:p>
    <w:p w14:paraId="2395FDAE" w14:textId="3390B09F" w:rsidR="00E84492" w:rsidRDefault="00814B49" w:rsidP="00E84492">
      <w:pPr>
        <w:autoSpaceDE w:val="0"/>
        <w:autoSpaceDN w:val="0"/>
        <w:adjustRightInd w:val="0"/>
        <w:ind w:left="720" w:right="720"/>
        <w:jc w:val="both"/>
        <w:outlineLvl w:val="0"/>
        <w:rPr>
          <w:rFonts w:eastAsiaTheme="minorHAnsi" w:cs="Arial"/>
          <w:color w:val="000000"/>
          <w:szCs w:val="23"/>
        </w:rPr>
      </w:pPr>
      <w:r w:rsidRPr="009B3FD2">
        <w:rPr>
          <w:rFonts w:eastAsiaTheme="minorHAnsi" w:cs="Arial"/>
          <w:b/>
          <w:bCs/>
          <w:color w:val="000000"/>
          <w:szCs w:val="23"/>
        </w:rPr>
        <w:t>Certainly,</w:t>
      </w:r>
      <w:r w:rsidR="00E84492" w:rsidRPr="009B3FD2">
        <w:rPr>
          <w:rFonts w:eastAsiaTheme="minorHAnsi" w:cs="Arial"/>
          <w:b/>
          <w:bCs/>
          <w:color w:val="000000"/>
          <w:szCs w:val="23"/>
        </w:rPr>
        <w:t xml:space="preserve"> such a representation would not be made falsely to a Court</w:t>
      </w:r>
      <w:r w:rsidR="00E84492" w:rsidRPr="00E84492">
        <w:rPr>
          <w:rFonts w:eastAsiaTheme="minorHAnsi" w:cs="Arial"/>
          <w:color w:val="000000"/>
          <w:szCs w:val="23"/>
        </w:rPr>
        <w:t xml:space="preserve">, and if, after stating this, Hamed was found to have attempted any such activity, it would be suicidal with regard to Judge Brady, </w:t>
      </w:r>
      <w:r w:rsidR="00625071">
        <w:rPr>
          <w:rFonts w:eastAsiaTheme="minorHAnsi" w:cs="Arial"/>
          <w:color w:val="000000"/>
          <w:szCs w:val="23"/>
        </w:rPr>
        <w:t>. . .</w:t>
      </w:r>
    </w:p>
    <w:p w14:paraId="0DC62828" w14:textId="77777777" w:rsidR="00625071" w:rsidRPr="00134ADD" w:rsidRDefault="00625071" w:rsidP="00E84492">
      <w:pPr>
        <w:autoSpaceDE w:val="0"/>
        <w:autoSpaceDN w:val="0"/>
        <w:adjustRightInd w:val="0"/>
        <w:ind w:left="720" w:right="720"/>
        <w:jc w:val="both"/>
        <w:outlineLvl w:val="0"/>
        <w:rPr>
          <w:rFonts w:eastAsiaTheme="minorHAnsi" w:cs="Arial"/>
          <w:color w:val="000000"/>
          <w:sz w:val="16"/>
          <w:szCs w:val="16"/>
        </w:rPr>
      </w:pPr>
    </w:p>
    <w:p w14:paraId="29C097AC" w14:textId="22BADDE6" w:rsidR="00B0438B" w:rsidRDefault="00803AFF" w:rsidP="009B3FD2">
      <w:pPr>
        <w:pStyle w:val="BodyText"/>
        <w:widowControl/>
        <w:spacing w:line="480" w:lineRule="auto"/>
        <w:ind w:firstLine="720"/>
        <w:jc w:val="both"/>
        <w:outlineLvl w:val="0"/>
      </w:pPr>
      <w:r>
        <w:lastRenderedPageBreak/>
        <w:t>For Isam to</w:t>
      </w:r>
      <w:r w:rsidR="00B0438B">
        <w:t xml:space="preserve"> </w:t>
      </w:r>
      <w:r w:rsidR="00625071">
        <w:t xml:space="preserve">present </w:t>
      </w:r>
      <w:r>
        <w:t xml:space="preserve">a small part of </w:t>
      </w:r>
      <w:r w:rsidR="00625071">
        <w:t xml:space="preserve">this </w:t>
      </w:r>
      <w:r>
        <w:t xml:space="preserve">settlement discussion, </w:t>
      </w:r>
      <w:r w:rsidR="00625071">
        <w:t>out of context</w:t>
      </w:r>
      <w:r>
        <w:t>,</w:t>
      </w:r>
      <w:r w:rsidR="00625071">
        <w:t xml:space="preserve"> as </w:t>
      </w:r>
      <w:r w:rsidR="000A7D63">
        <w:t xml:space="preserve">a </w:t>
      </w:r>
      <w:r w:rsidR="00BA081B">
        <w:t>foil</w:t>
      </w:r>
      <w:r w:rsidR="0060640A">
        <w:t xml:space="preserve"> for</w:t>
      </w:r>
      <w:r w:rsidR="00625071">
        <w:t xml:space="preserve"> </w:t>
      </w:r>
      <w:r w:rsidR="00B0438B">
        <w:t>suggest</w:t>
      </w:r>
      <w:r w:rsidR="00625071">
        <w:t>ing</w:t>
      </w:r>
      <w:r w:rsidR="00B0438B">
        <w:t xml:space="preserve"> </w:t>
      </w:r>
      <w:r w:rsidR="00C831DD">
        <w:t xml:space="preserve">it is </w:t>
      </w:r>
      <w:r>
        <w:t>indicative of a greater</w:t>
      </w:r>
      <w:r w:rsidR="00B0438B">
        <w:t xml:space="preserve"> threat or </w:t>
      </w:r>
      <w:r w:rsidR="00501CB5">
        <w:t>acts</w:t>
      </w:r>
      <w:r w:rsidR="00B0438B">
        <w:t xml:space="preserve"> in any way “patently unethical” is </w:t>
      </w:r>
      <w:r w:rsidR="00E67CDB">
        <w:t>misleading.</w:t>
      </w:r>
      <w:r w:rsidR="00082BBC">
        <w:t xml:space="preserve"> </w:t>
      </w:r>
      <w:r>
        <w:t xml:space="preserve">He seeks to obscure the obvious. </w:t>
      </w:r>
      <w:r w:rsidR="00082BBC">
        <w:t xml:space="preserve">The case law </w:t>
      </w:r>
      <w:r w:rsidR="00625071">
        <w:t xml:space="preserve">set out in the </w:t>
      </w:r>
      <w:r w:rsidR="0036771D">
        <w:t>M</w:t>
      </w:r>
      <w:r w:rsidR="00625071">
        <w:t xml:space="preserve">otion </w:t>
      </w:r>
      <w:r w:rsidR="00082BBC">
        <w:t>is clear</w:t>
      </w:r>
      <w:r w:rsidR="00625071">
        <w:t xml:space="preserve"> as can be—</w:t>
      </w:r>
      <w:r w:rsidR="00082BBC">
        <w:t xml:space="preserve">if Isam has the </w:t>
      </w:r>
      <w:r w:rsidR="00082BBC" w:rsidRPr="00803AFF">
        <w:rPr>
          <w:i/>
          <w:iCs/>
        </w:rPr>
        <w:t>right to demand</w:t>
      </w:r>
      <w:r w:rsidR="00082BBC">
        <w:t xml:space="preserve"> his own banking documents,</w:t>
      </w:r>
      <w:r w:rsidR="00134ADD">
        <w:t xml:space="preserve"> he has ‘control’ and </w:t>
      </w:r>
      <w:r w:rsidR="0060640A">
        <w:t>must</w:t>
      </w:r>
      <w:r w:rsidR="00082BBC">
        <w:t xml:space="preserve"> do so regardless of </w:t>
      </w:r>
      <w:r w:rsidR="0060640A">
        <w:t xml:space="preserve">what entity </w:t>
      </w:r>
      <w:r w:rsidR="00082BBC">
        <w:t>is holding them</w:t>
      </w:r>
      <w:r>
        <w:t xml:space="preserve">, including </w:t>
      </w:r>
      <w:r w:rsidR="00501CB5">
        <w:t>STM’s</w:t>
      </w:r>
      <w:r w:rsidR="00C831DD">
        <w:t xml:space="preserve"> </w:t>
      </w:r>
      <w:r>
        <w:t>police.</w:t>
      </w:r>
    </w:p>
    <w:p w14:paraId="31164A2C" w14:textId="2E804C61" w:rsidR="00F444AA" w:rsidRDefault="00F444AA" w:rsidP="00082BBC">
      <w:pPr>
        <w:pStyle w:val="BodyText"/>
        <w:widowControl/>
        <w:spacing w:line="480" w:lineRule="auto"/>
        <w:jc w:val="both"/>
        <w:outlineLvl w:val="0"/>
      </w:pPr>
      <w:r>
        <w:tab/>
        <w:t xml:space="preserve">Finally, it is important to note that if Isam has any realistic fear of </w:t>
      </w:r>
      <w:r w:rsidR="0036771D">
        <w:t xml:space="preserve">STM </w:t>
      </w:r>
      <w:r>
        <w:t>criminal prosecution d</w:t>
      </w:r>
      <w:r w:rsidR="00E6323B">
        <w:t>u</w:t>
      </w:r>
      <w:r>
        <w:t xml:space="preserve">e to </w:t>
      </w:r>
      <w:r w:rsidR="00E6323B">
        <w:t xml:space="preserve">this </w:t>
      </w:r>
      <w:r>
        <w:t>routine discovery</w:t>
      </w:r>
      <w:r w:rsidR="0036771D">
        <w:t xml:space="preserve"> </w:t>
      </w:r>
      <w:r w:rsidR="00E67CDB">
        <w:t>on STM</w:t>
      </w:r>
      <w:r>
        <w:t xml:space="preserve">, </w:t>
      </w:r>
      <w:r w:rsidR="009B3FD2">
        <w:t>refusing to properly respond is not the answer. H</w:t>
      </w:r>
      <w:r>
        <w:t>e can always do what Fathi did</w:t>
      </w:r>
      <w:r w:rsidR="00625071">
        <w:t>—</w:t>
      </w:r>
      <w:r>
        <w:t xml:space="preserve">assert his Fifth Amendment rights under the US Constitution and place the matter before </w:t>
      </w:r>
      <w:r w:rsidRPr="00E67CDB">
        <w:rPr>
          <w:i/>
          <w:iCs/>
          <w:u w:val="single"/>
        </w:rPr>
        <w:t>this</w:t>
      </w:r>
      <w:r>
        <w:t xml:space="preserve"> Court. He is a US </w:t>
      </w:r>
      <w:r w:rsidR="004A4798">
        <w:t>citizen;</w:t>
      </w:r>
      <w:r>
        <w:t xml:space="preserve"> this is a US court. As stated </w:t>
      </w:r>
      <w:r w:rsidR="00501CB5">
        <w:t xml:space="preserve">repeatedly </w:t>
      </w:r>
      <w:r>
        <w:t>in the letter above, Hamed canno</w:t>
      </w:r>
      <w:r w:rsidR="00E6323B">
        <w:t>t</w:t>
      </w:r>
      <w:r>
        <w:t xml:space="preserve"> fathom how any </w:t>
      </w:r>
      <w:r w:rsidR="0036771D">
        <w:t>STM</w:t>
      </w:r>
      <w:r>
        <w:t xml:space="preserve"> document request for </w:t>
      </w:r>
      <w:r w:rsidR="004A4798">
        <w:t>25-year-old</w:t>
      </w:r>
      <w:r>
        <w:t xml:space="preserve"> personal bank statements </w:t>
      </w:r>
      <w:r w:rsidR="00E67CDB">
        <w:t>for</w:t>
      </w:r>
      <w:r w:rsidR="0060640A">
        <w:t xml:space="preserve"> a </w:t>
      </w:r>
      <w:r w:rsidR="00E67CDB">
        <w:t xml:space="preserve">solely </w:t>
      </w:r>
      <w:r w:rsidR="0060640A">
        <w:t xml:space="preserve">USVI case </w:t>
      </w:r>
      <w:r>
        <w:t xml:space="preserve">involves any </w:t>
      </w:r>
      <w:r w:rsidR="0060640A">
        <w:t xml:space="preserve">STM </w:t>
      </w:r>
      <w:r>
        <w:t>criminal action</w:t>
      </w:r>
      <w:r w:rsidR="00E67CDB">
        <w:t>. B</w:t>
      </w:r>
      <w:r>
        <w:t>ut if Isam does, he can file a motion for a protective order</w:t>
      </w:r>
      <w:r w:rsidR="00A61AA6">
        <w:t>. W</w:t>
      </w:r>
      <w:r>
        <w:t xml:space="preserve">hat he cannot do is unilaterally refuse </w:t>
      </w:r>
      <w:r w:rsidR="009B3FD2">
        <w:t xml:space="preserve">to respond properly to </w:t>
      </w:r>
      <w:r>
        <w:t>discovery</w:t>
      </w:r>
      <w:r w:rsidR="009B3FD2">
        <w:t xml:space="preserve"> requests</w:t>
      </w:r>
      <w:r w:rsidR="00E6323B">
        <w:t>.</w:t>
      </w:r>
    </w:p>
    <w:p w14:paraId="593CF4B7" w14:textId="73C2683C" w:rsidR="00082BBC" w:rsidRPr="000031AC" w:rsidRDefault="00082BBC" w:rsidP="00082BBC">
      <w:pPr>
        <w:pStyle w:val="BodyText"/>
        <w:numPr>
          <w:ilvl w:val="0"/>
          <w:numId w:val="18"/>
        </w:numPr>
        <w:spacing w:before="92"/>
        <w:ind w:right="114"/>
        <w:jc w:val="both"/>
        <w:rPr>
          <w:b/>
          <w:bCs/>
        </w:rPr>
      </w:pPr>
      <w:r w:rsidRPr="000031AC">
        <w:rPr>
          <w:b/>
          <w:bCs/>
        </w:rPr>
        <w:t>Isam’s</w:t>
      </w:r>
      <w:r w:rsidR="000031AC">
        <w:rPr>
          <w:b/>
          <w:bCs/>
        </w:rPr>
        <w:t xml:space="preserve"> 4th</w:t>
      </w:r>
      <w:r w:rsidRPr="000031AC">
        <w:rPr>
          <w:b/>
          <w:bCs/>
        </w:rPr>
        <w:t xml:space="preserve"> </w:t>
      </w:r>
      <w:r w:rsidR="009B3FD2">
        <w:rPr>
          <w:b/>
          <w:bCs/>
        </w:rPr>
        <w:t>point,</w:t>
      </w:r>
      <w:r w:rsidRPr="000031AC">
        <w:rPr>
          <w:b/>
          <w:bCs/>
        </w:rPr>
        <w:t xml:space="preserve"> at 3-4, that “five years ago Isam Yousuf made his own requests to the bank for copies of records relevant to the issues in this litigation. He was eventually notified that the bank has no such records in its possession, and as a consequence he is unwilling, and should not be compelled, to execute an authorization for others to search for records which do not exist.”</w:t>
      </w:r>
    </w:p>
    <w:p w14:paraId="3CA8E481" w14:textId="77777777" w:rsidR="00082BBC" w:rsidRPr="00377B8D" w:rsidRDefault="00082BBC" w:rsidP="00082BBC">
      <w:pPr>
        <w:pStyle w:val="BodyText"/>
        <w:spacing w:before="92"/>
        <w:ind w:left="1080" w:right="114"/>
        <w:jc w:val="both"/>
        <w:rPr>
          <w:sz w:val="16"/>
          <w:szCs w:val="16"/>
        </w:rPr>
      </w:pPr>
    </w:p>
    <w:p w14:paraId="4F9EE792" w14:textId="25B80D58" w:rsidR="00A61AA6" w:rsidRDefault="00082BBC" w:rsidP="00082BBC">
      <w:pPr>
        <w:pStyle w:val="BodyText"/>
        <w:widowControl/>
        <w:spacing w:line="480" w:lineRule="auto"/>
        <w:ind w:firstLine="720"/>
        <w:jc w:val="both"/>
        <w:outlineLvl w:val="0"/>
      </w:pPr>
      <w:r>
        <w:t>Hamed is certain that if any proof of this</w:t>
      </w:r>
      <w:r w:rsidR="00F444AA">
        <w:t xml:space="preserve"> request or </w:t>
      </w:r>
      <w:r w:rsidR="008324C5">
        <w:t xml:space="preserve">BFC’s </w:t>
      </w:r>
      <w:r w:rsidR="00F444AA">
        <w:t>response</w:t>
      </w:r>
      <w:r>
        <w:t xml:space="preserve"> existed, it would have been an exhibit to </w:t>
      </w:r>
      <w:r w:rsidR="0060640A">
        <w:t>Isam’s</w:t>
      </w:r>
      <w:r>
        <w:t xml:space="preserve"> opposition</w:t>
      </w:r>
      <w:r w:rsidRPr="0036771D">
        <w:rPr>
          <w:i/>
          <w:iCs/>
        </w:rPr>
        <w:t xml:space="preserve">. </w:t>
      </w:r>
      <w:r w:rsidR="008324C5" w:rsidRPr="0036771D">
        <w:rPr>
          <w:i/>
          <w:iCs/>
        </w:rPr>
        <w:t xml:space="preserve">Hamed does not doubt that Isam told his counsel this as a </w:t>
      </w:r>
      <w:r w:rsidR="008324C5" w:rsidRPr="00403FA4">
        <w:rPr>
          <w:i/>
          <w:iCs/>
          <w:u w:val="single"/>
        </w:rPr>
        <w:t>fact</w:t>
      </w:r>
      <w:r w:rsidR="008324C5" w:rsidRPr="0036771D">
        <w:rPr>
          <w:i/>
          <w:iCs/>
        </w:rPr>
        <w:t>.</w:t>
      </w:r>
      <w:r w:rsidR="008324C5">
        <w:t xml:space="preserve"> </w:t>
      </w:r>
      <w:r w:rsidR="0036771D">
        <w:t>But counsel has conveyed many such</w:t>
      </w:r>
      <w:r w:rsidR="00403FA4">
        <w:t xml:space="preserve"> unsupported, undocumented</w:t>
      </w:r>
      <w:r w:rsidR="0036771D">
        <w:t xml:space="preserve"> </w:t>
      </w:r>
      <w:r w:rsidR="0036771D" w:rsidRPr="0036771D">
        <w:rPr>
          <w:i/>
          <w:iCs/>
        </w:rPr>
        <w:t>facts</w:t>
      </w:r>
      <w:r w:rsidR="0036771D">
        <w:t xml:space="preserve"> from Isam that turned out to be erroneous. </w:t>
      </w:r>
      <w:r w:rsidR="008324C5">
        <w:t xml:space="preserve">Hamed </w:t>
      </w:r>
      <w:r>
        <w:t>is equally sure if it were true</w:t>
      </w:r>
      <w:r w:rsidR="008324C5">
        <w:t xml:space="preserve"> that this request was made</w:t>
      </w:r>
      <w:r>
        <w:t>, Isam would have submitted a declaration.</w:t>
      </w:r>
      <w:r w:rsidR="003065FE">
        <w:t xml:space="preserve"> </w:t>
      </w:r>
      <w:r w:rsidR="00F444AA">
        <w:t xml:space="preserve">Hamed is </w:t>
      </w:r>
      <w:r w:rsidR="00403FA4">
        <w:t>equally certain</w:t>
      </w:r>
      <w:r w:rsidR="00F444AA">
        <w:t xml:space="preserve"> </w:t>
      </w:r>
      <w:r w:rsidR="008324C5">
        <w:t>that the existence of such a</w:t>
      </w:r>
      <w:r w:rsidR="00403FA4">
        <w:t>n important</w:t>
      </w:r>
      <w:r w:rsidR="008324C5">
        <w:t xml:space="preserve"> request </w:t>
      </w:r>
      <w:r w:rsidR="00F444AA">
        <w:t xml:space="preserve">would have been raised in the </w:t>
      </w:r>
      <w:r w:rsidR="00F444AA" w:rsidRPr="00625071">
        <w:rPr>
          <w:i/>
          <w:iCs/>
          <w:u w:val="single"/>
        </w:rPr>
        <w:t>many</w:t>
      </w:r>
      <w:r w:rsidR="00F444AA">
        <w:t xml:space="preserve"> prior exchanges on this exact topic</w:t>
      </w:r>
      <w:r w:rsidR="00403FA4">
        <w:t>, and yet it appears here, fortuitously, for the first time.</w:t>
      </w:r>
      <w:r w:rsidR="00F444AA">
        <w:t xml:space="preserve"> </w:t>
      </w:r>
      <w:r>
        <w:t xml:space="preserve">But it </w:t>
      </w:r>
      <w:r w:rsidR="0060640A">
        <w:t>could well</w:t>
      </w:r>
      <w:r>
        <w:t xml:space="preserve"> be treacherous </w:t>
      </w:r>
      <w:r w:rsidR="00F444AA">
        <w:t xml:space="preserve">for Isam </w:t>
      </w:r>
      <w:r>
        <w:t xml:space="preserve">to affirm </w:t>
      </w:r>
      <w:r w:rsidR="0060640A">
        <w:t>such allegations</w:t>
      </w:r>
      <w:r>
        <w:t xml:space="preserve"> under </w:t>
      </w:r>
      <w:r w:rsidR="00F444AA">
        <w:t>oa</w:t>
      </w:r>
      <w:r>
        <w:t>th and then have BFC produce the document</w:t>
      </w:r>
      <w:r w:rsidR="00F444AA">
        <w:t>s</w:t>
      </w:r>
      <w:r>
        <w:t xml:space="preserve">—or </w:t>
      </w:r>
      <w:r w:rsidR="00F444AA">
        <w:t xml:space="preserve">for BFC to </w:t>
      </w:r>
      <w:r>
        <w:t>be able to conf</w:t>
      </w:r>
      <w:r w:rsidR="00E6323B">
        <w:t>i</w:t>
      </w:r>
      <w:r>
        <w:t xml:space="preserve">rm that such a request </w:t>
      </w:r>
      <w:r w:rsidR="00F444AA">
        <w:t xml:space="preserve">never </w:t>
      </w:r>
      <w:r>
        <w:t>existed.</w:t>
      </w:r>
      <w:r w:rsidR="002E1AF8">
        <w:t xml:space="preserve"> </w:t>
      </w:r>
    </w:p>
    <w:p w14:paraId="5A76004A" w14:textId="5A29511B" w:rsidR="000031AC" w:rsidRDefault="002E1AF8" w:rsidP="00082BBC">
      <w:pPr>
        <w:pStyle w:val="BodyText"/>
        <w:widowControl/>
        <w:spacing w:line="480" w:lineRule="auto"/>
        <w:ind w:firstLine="720"/>
        <w:jc w:val="both"/>
        <w:outlineLvl w:val="0"/>
      </w:pPr>
      <w:r>
        <w:lastRenderedPageBreak/>
        <w:t xml:space="preserve">For all of the reasons </w:t>
      </w:r>
      <w:r w:rsidR="00403FA4">
        <w:t xml:space="preserve">also </w:t>
      </w:r>
      <w:r>
        <w:t xml:space="preserve">set forth in section II(A) above, this argument must </w:t>
      </w:r>
      <w:r w:rsidR="008324C5">
        <w:t xml:space="preserve">also </w:t>
      </w:r>
      <w:r>
        <w:t xml:space="preserve">be rejected. There is no support, no information on the alleged entity, no exhibit, no </w:t>
      </w:r>
      <w:r w:rsidR="004A4798">
        <w:t>declaration,</w:t>
      </w:r>
      <w:r>
        <w:t xml:space="preserve"> and it is irrelevant to </w:t>
      </w:r>
      <w:r w:rsidR="00F444AA">
        <w:t xml:space="preserve">the </w:t>
      </w:r>
      <w:r>
        <w:t xml:space="preserve">ability of Hamed to seek </w:t>
      </w:r>
      <w:r w:rsidR="0060640A">
        <w:t>discovery responses</w:t>
      </w:r>
    </w:p>
    <w:p w14:paraId="6721CD14" w14:textId="76D84784" w:rsidR="000031AC" w:rsidRDefault="000031AC" w:rsidP="000031AC">
      <w:pPr>
        <w:pStyle w:val="BodyText"/>
        <w:numPr>
          <w:ilvl w:val="0"/>
          <w:numId w:val="14"/>
        </w:numPr>
        <w:ind w:right="115"/>
        <w:jc w:val="both"/>
        <w:rPr>
          <w:b/>
          <w:bCs/>
        </w:rPr>
      </w:pPr>
      <w:r>
        <w:rPr>
          <w:b/>
          <w:bCs/>
        </w:rPr>
        <w:t>Isam’s 5</w:t>
      </w:r>
      <w:r w:rsidRPr="000031AC">
        <w:rPr>
          <w:b/>
          <w:bCs/>
          <w:vertAlign w:val="superscript"/>
        </w:rPr>
        <w:t>th</w:t>
      </w:r>
      <w:r>
        <w:rPr>
          <w:b/>
          <w:bCs/>
        </w:rPr>
        <w:t xml:space="preserve"> </w:t>
      </w:r>
      <w:r w:rsidR="008324C5">
        <w:rPr>
          <w:b/>
          <w:bCs/>
        </w:rPr>
        <w:t>Point</w:t>
      </w:r>
      <w:r>
        <w:rPr>
          <w:b/>
          <w:bCs/>
        </w:rPr>
        <w:t>: His Attempt to Muddy the Water</w:t>
      </w:r>
      <w:r w:rsidR="0036771D">
        <w:rPr>
          <w:b/>
          <w:bCs/>
        </w:rPr>
        <w:t>s</w:t>
      </w:r>
      <w:r>
        <w:rPr>
          <w:b/>
          <w:bCs/>
        </w:rPr>
        <w:t>:</w:t>
      </w:r>
    </w:p>
    <w:p w14:paraId="16C55A33" w14:textId="77777777" w:rsidR="000031AC" w:rsidRPr="005A14BF" w:rsidRDefault="000031AC" w:rsidP="000031AC">
      <w:pPr>
        <w:pStyle w:val="BodyText"/>
        <w:ind w:left="1080" w:right="115"/>
        <w:jc w:val="both"/>
        <w:rPr>
          <w:b/>
          <w:bCs/>
        </w:rPr>
      </w:pPr>
      <w:r>
        <w:rPr>
          <w:b/>
          <w:bCs/>
        </w:rPr>
        <w:t>“</w:t>
      </w:r>
      <w:r w:rsidRPr="005A14BF">
        <w:rPr>
          <w:b/>
          <w:bCs/>
        </w:rPr>
        <w:t>Unclean Hands</w:t>
      </w:r>
      <w:r>
        <w:rPr>
          <w:b/>
          <w:bCs/>
        </w:rPr>
        <w:t>”</w:t>
      </w:r>
      <w:r w:rsidRPr="005A14BF">
        <w:rPr>
          <w:b/>
          <w:bCs/>
        </w:rPr>
        <w:t xml:space="preserve"> versus “In Pari Delicto”</w:t>
      </w:r>
    </w:p>
    <w:p w14:paraId="2C221984" w14:textId="77777777" w:rsidR="000031AC" w:rsidRPr="00E6323B" w:rsidRDefault="000031AC" w:rsidP="000031AC">
      <w:pPr>
        <w:pStyle w:val="BodyText"/>
        <w:spacing w:before="92"/>
        <w:ind w:left="1080" w:right="114"/>
        <w:jc w:val="both"/>
        <w:rPr>
          <w:sz w:val="8"/>
          <w:szCs w:val="8"/>
        </w:rPr>
      </w:pPr>
    </w:p>
    <w:p w14:paraId="33399F44" w14:textId="6EF2CF8F" w:rsidR="000031AC" w:rsidRDefault="000031AC" w:rsidP="000031AC">
      <w:pPr>
        <w:spacing w:line="480" w:lineRule="auto"/>
        <w:ind w:firstLine="720"/>
        <w:jc w:val="both"/>
        <w:outlineLvl w:val="0"/>
        <w:rPr>
          <w:rFonts w:cs="Arial"/>
        </w:rPr>
      </w:pPr>
      <w:r>
        <w:rPr>
          <w:rFonts w:cs="Arial"/>
        </w:rPr>
        <w:t xml:space="preserve">Instead of addressing </w:t>
      </w:r>
      <w:r w:rsidR="0036771D">
        <w:rPr>
          <w:rFonts w:cs="Arial"/>
        </w:rPr>
        <w:t>Hamed’s m</w:t>
      </w:r>
      <w:r>
        <w:rPr>
          <w:rFonts w:cs="Arial"/>
        </w:rPr>
        <w:t xml:space="preserve">otion, Isam largely substitutes the suggestion that because he alleges that </w:t>
      </w:r>
      <w:r w:rsidR="008324C5">
        <w:rPr>
          <w:rFonts w:cs="Arial"/>
        </w:rPr>
        <w:t xml:space="preserve">principals of </w:t>
      </w:r>
      <w:r>
        <w:rPr>
          <w:rFonts w:cs="Arial"/>
        </w:rPr>
        <w:t xml:space="preserve">Sixteen Plus </w:t>
      </w:r>
      <w:r w:rsidR="008324C5">
        <w:rPr>
          <w:rFonts w:cs="Arial"/>
        </w:rPr>
        <w:t xml:space="preserve">(Fathi and Wally) </w:t>
      </w:r>
      <w:r>
        <w:rPr>
          <w:rFonts w:cs="Arial"/>
        </w:rPr>
        <w:t>had unclean hands in 1996-2004, he should be free of any discovery responsibilities in this case. He ignores the 95% of the facts (</w:t>
      </w:r>
      <w:r w:rsidR="00011161">
        <w:rPr>
          <w:rFonts w:cs="Arial"/>
        </w:rPr>
        <w:t>as to his and Manal’s extensive wrongdoing)</w:t>
      </w:r>
      <w:r>
        <w:rPr>
          <w:rFonts w:cs="Arial"/>
        </w:rPr>
        <w:t xml:space="preserve"> alleged in the actual complaint</w:t>
      </w:r>
      <w:r>
        <w:t>—</w:t>
      </w:r>
      <w:r w:rsidR="008324C5">
        <w:t xml:space="preserve">in an effort </w:t>
      </w:r>
      <w:r>
        <w:rPr>
          <w:rFonts w:cs="Arial"/>
        </w:rPr>
        <w:t xml:space="preserve">to </w:t>
      </w:r>
      <w:r w:rsidR="009B3FD2">
        <w:rPr>
          <w:rFonts w:cs="Arial"/>
        </w:rPr>
        <w:t>seek</w:t>
      </w:r>
      <w:r>
        <w:rPr>
          <w:rFonts w:cs="Arial"/>
        </w:rPr>
        <w:t xml:space="preserve"> unilateral discovery sanctions against </w:t>
      </w:r>
      <w:r w:rsidR="00011161">
        <w:rPr>
          <w:rFonts w:cs="Arial"/>
        </w:rPr>
        <w:t xml:space="preserve">just </w:t>
      </w:r>
      <w:r>
        <w:rPr>
          <w:rFonts w:cs="Arial"/>
        </w:rPr>
        <w:t xml:space="preserve">Hamed. He does so under the rubric of the affirmative defense of </w:t>
      </w:r>
      <w:r w:rsidRPr="009B3FD2">
        <w:rPr>
          <w:rFonts w:cs="Arial"/>
          <w:i/>
          <w:iCs/>
        </w:rPr>
        <w:t>unclean hands</w:t>
      </w:r>
      <w:r>
        <w:rPr>
          <w:rFonts w:cs="Arial"/>
        </w:rPr>
        <w:t xml:space="preserve">—which is not applicable </w:t>
      </w:r>
      <w:r w:rsidR="008324C5">
        <w:rPr>
          <w:rFonts w:cs="Arial"/>
        </w:rPr>
        <w:t xml:space="preserve">at this </w:t>
      </w:r>
      <w:r w:rsidR="002938D9">
        <w:rPr>
          <w:rFonts w:cs="Arial"/>
        </w:rPr>
        <w:t>stage</w:t>
      </w:r>
      <w:r w:rsidR="000162D0">
        <w:rPr>
          <w:rStyle w:val="FootnoteReference"/>
          <w:rFonts w:cs="Arial"/>
        </w:rPr>
        <w:footnoteReference w:id="7"/>
      </w:r>
      <w:r w:rsidR="002938D9">
        <w:rPr>
          <w:rFonts w:cs="Arial"/>
        </w:rPr>
        <w:t xml:space="preserve"> and</w:t>
      </w:r>
      <w:r>
        <w:rPr>
          <w:rFonts w:cs="Arial"/>
        </w:rPr>
        <w:t xml:space="preserve"> </w:t>
      </w:r>
      <w:r w:rsidR="00EC674A">
        <w:rPr>
          <w:rFonts w:cs="Arial"/>
        </w:rPr>
        <w:t xml:space="preserve">is </w:t>
      </w:r>
      <w:r>
        <w:rPr>
          <w:rFonts w:cs="Arial"/>
        </w:rPr>
        <w:t xml:space="preserve">certainly </w:t>
      </w:r>
      <w:r w:rsidRPr="000026B0">
        <w:rPr>
          <w:rFonts w:cs="Arial"/>
          <w:i/>
          <w:iCs/>
          <w:u w:val="single"/>
        </w:rPr>
        <w:t>not yet</w:t>
      </w:r>
      <w:r>
        <w:rPr>
          <w:rFonts w:cs="Arial"/>
        </w:rPr>
        <w:t xml:space="preserve"> applicable in any manner that would block discovery. He has, however, raised the issue and Hamed must</w:t>
      </w:r>
      <w:r w:rsidR="00EC674A">
        <w:rPr>
          <w:rFonts w:cs="Arial"/>
        </w:rPr>
        <w:t>, therefore,</w:t>
      </w:r>
      <w:r>
        <w:rPr>
          <w:rFonts w:cs="Arial"/>
        </w:rPr>
        <w:t xml:space="preserve"> respond. </w:t>
      </w:r>
    </w:p>
    <w:p w14:paraId="51A077C0" w14:textId="2FEE6502" w:rsidR="00EC674A" w:rsidRDefault="000031AC" w:rsidP="000031AC">
      <w:pPr>
        <w:spacing w:line="480" w:lineRule="auto"/>
        <w:ind w:firstLine="720"/>
        <w:jc w:val="both"/>
        <w:outlineLvl w:val="0"/>
        <w:rPr>
          <w:rFonts w:cs="Arial"/>
        </w:rPr>
      </w:pPr>
      <w:r>
        <w:rPr>
          <w:rFonts w:cs="Arial"/>
        </w:rPr>
        <w:t xml:space="preserve">What Isam is confusing in his opposition </w:t>
      </w:r>
      <w:r w:rsidR="00DC24A2">
        <w:rPr>
          <w:rFonts w:cs="Arial"/>
        </w:rPr>
        <w:t>are</w:t>
      </w:r>
      <w:r>
        <w:rPr>
          <w:rFonts w:cs="Arial"/>
        </w:rPr>
        <w:t xml:space="preserve"> “unclean hands” and “in pari delicto</w:t>
      </w:r>
      <w:r w:rsidR="003129DA">
        <w:rPr>
          <w:rFonts w:cs="Arial"/>
        </w:rPr>
        <w:t>.”</w:t>
      </w:r>
      <w:r>
        <w:rPr>
          <w:rFonts w:cs="Arial"/>
        </w:rPr>
        <w:t xml:space="preserve"> Unclean hands is a </w:t>
      </w:r>
      <w:r w:rsidRPr="000026B0">
        <w:rPr>
          <w:rFonts w:cs="Arial"/>
          <w:i/>
          <w:iCs/>
        </w:rPr>
        <w:t>unilateral</w:t>
      </w:r>
      <w:r>
        <w:rPr>
          <w:rFonts w:cs="Arial"/>
        </w:rPr>
        <w:t xml:space="preserve"> affirmative defense based in equity. If, as alleged in the complaint—which still controls at this point—ALL of the parties have unclean hands, both here and in the companion foreclosure action (consolidated 342/65),</w:t>
      </w:r>
      <w:r w:rsidR="008418BA">
        <w:rPr>
          <w:rStyle w:val="FootnoteReference"/>
          <w:rFonts w:cs="Arial"/>
        </w:rPr>
        <w:footnoteReference w:id="8"/>
      </w:r>
      <w:r>
        <w:rPr>
          <w:rFonts w:cs="Arial"/>
        </w:rPr>
        <w:t xml:space="preserve"> then the Court is presented with bilateral (or more accurately, multilateral) wrongdoing. </w:t>
      </w:r>
      <w:r w:rsidR="00EC674A">
        <w:rPr>
          <w:rFonts w:cs="Arial"/>
        </w:rPr>
        <w:t xml:space="preserve">One factual </w:t>
      </w:r>
      <w:r>
        <w:rPr>
          <w:rFonts w:cs="Arial"/>
        </w:rPr>
        <w:t xml:space="preserve">issue </w:t>
      </w:r>
      <w:r w:rsidR="00EC674A">
        <w:rPr>
          <w:rFonts w:cs="Arial"/>
        </w:rPr>
        <w:t xml:space="preserve">for the future </w:t>
      </w:r>
      <w:r>
        <w:rPr>
          <w:rFonts w:cs="Arial"/>
        </w:rPr>
        <w:t xml:space="preserve">is not, therefore, whether </w:t>
      </w:r>
      <w:r w:rsidRPr="000D2A30">
        <w:rPr>
          <w:rFonts w:cs="Arial"/>
          <w:i/>
          <w:iCs/>
        </w:rPr>
        <w:t xml:space="preserve">just one of the alleged wrongdoers should be </w:t>
      </w:r>
      <w:r w:rsidRPr="000D2A30">
        <w:rPr>
          <w:rFonts w:cs="Arial"/>
          <w:i/>
          <w:iCs/>
        </w:rPr>
        <w:lastRenderedPageBreak/>
        <w:t>singled out and denied basic discovery responses</w:t>
      </w:r>
      <w:r w:rsidR="00EC674A">
        <w:rPr>
          <w:rStyle w:val="FootnoteReference"/>
          <w:rFonts w:cs="Arial"/>
          <w:i/>
          <w:iCs/>
        </w:rPr>
        <w:footnoteReference w:id="9"/>
      </w:r>
      <w:r>
        <w:rPr>
          <w:rFonts w:cs="Arial"/>
        </w:rPr>
        <w:t xml:space="preserve">—but rather: Should they </w:t>
      </w:r>
      <w:r w:rsidRPr="00EC674A">
        <w:rPr>
          <w:rFonts w:cs="Arial"/>
          <w:i/>
          <w:iCs/>
          <w:u w:val="single"/>
        </w:rPr>
        <w:t>all</w:t>
      </w:r>
      <w:r>
        <w:rPr>
          <w:rFonts w:cs="Arial"/>
        </w:rPr>
        <w:t xml:space="preserve"> be affected in some </w:t>
      </w:r>
      <w:r w:rsidR="00EC674A">
        <w:rPr>
          <w:rFonts w:cs="Arial"/>
        </w:rPr>
        <w:t xml:space="preserve">manner </w:t>
      </w:r>
      <w:r>
        <w:rPr>
          <w:rFonts w:cs="Arial"/>
        </w:rPr>
        <w:t xml:space="preserve">by this </w:t>
      </w:r>
      <w:r w:rsidR="00EC674A">
        <w:rPr>
          <w:rFonts w:cs="Arial"/>
        </w:rPr>
        <w:t>revelation?</w:t>
      </w:r>
      <w:r>
        <w:rPr>
          <w:rFonts w:cs="Arial"/>
        </w:rPr>
        <w:t xml:space="preserve"> </w:t>
      </w:r>
      <w:r w:rsidR="009B3FD2">
        <w:rPr>
          <w:rFonts w:cs="Arial"/>
        </w:rPr>
        <w:t xml:space="preserve">Although </w:t>
      </w:r>
      <w:r>
        <w:rPr>
          <w:rFonts w:cs="Arial"/>
        </w:rPr>
        <w:t>Hamed show</w:t>
      </w:r>
      <w:r w:rsidR="00A61AA6">
        <w:rPr>
          <w:rFonts w:cs="Arial"/>
        </w:rPr>
        <w:t>s</w:t>
      </w:r>
      <w:r>
        <w:rPr>
          <w:rFonts w:cs="Arial"/>
        </w:rPr>
        <w:t xml:space="preserve"> that this is</w:t>
      </w:r>
      <w:r w:rsidR="009B3FD2">
        <w:rPr>
          <w:rFonts w:cs="Arial"/>
        </w:rPr>
        <w:t>n’t</w:t>
      </w:r>
      <w:r>
        <w:rPr>
          <w:rFonts w:cs="Arial"/>
        </w:rPr>
        <w:t xml:space="preserve"> yet the time to apply th</w:t>
      </w:r>
      <w:r w:rsidR="00DC24A2">
        <w:rPr>
          <w:rFonts w:cs="Arial"/>
        </w:rPr>
        <w:t>e</w:t>
      </w:r>
      <w:r>
        <w:rPr>
          <w:rFonts w:cs="Arial"/>
        </w:rPr>
        <w:t xml:space="preserve"> doctrine</w:t>
      </w:r>
      <w:r w:rsidR="00DC24A2">
        <w:rPr>
          <w:rFonts w:cs="Arial"/>
        </w:rPr>
        <w:t>,</w:t>
      </w:r>
      <w:r>
        <w:rPr>
          <w:rFonts w:cs="Arial"/>
        </w:rPr>
        <w:t xml:space="preserve"> as not enough facts are of record—</w:t>
      </w:r>
      <w:r w:rsidR="009B3FD2">
        <w:rPr>
          <w:rFonts w:cs="Arial"/>
        </w:rPr>
        <w:t xml:space="preserve">he </w:t>
      </w:r>
      <w:r w:rsidR="00F56847">
        <w:rPr>
          <w:rFonts w:cs="Arial"/>
        </w:rPr>
        <w:t>responds,</w:t>
      </w:r>
      <w:r w:rsidR="00EC674A">
        <w:rPr>
          <w:rFonts w:cs="Arial"/>
        </w:rPr>
        <w:t xml:space="preserve"> nonetheless. </w:t>
      </w:r>
    </w:p>
    <w:p w14:paraId="40300F98" w14:textId="2E263A5C" w:rsidR="000031AC" w:rsidRPr="00C27813" w:rsidRDefault="000031AC" w:rsidP="000031AC">
      <w:pPr>
        <w:spacing w:line="480" w:lineRule="auto"/>
        <w:ind w:firstLine="720"/>
        <w:jc w:val="both"/>
        <w:outlineLvl w:val="0"/>
        <w:rPr>
          <w:rFonts w:cs="Arial"/>
          <w:color w:val="000000"/>
          <w:bdr w:val="none" w:sz="0" w:space="0" w:color="auto" w:frame="1"/>
        </w:rPr>
      </w:pPr>
      <w:r>
        <w:rPr>
          <w:rFonts w:cs="Arial"/>
        </w:rPr>
        <w:t xml:space="preserve">Indeed, Hamed </w:t>
      </w:r>
      <w:r w:rsidR="00EC674A">
        <w:rPr>
          <w:rFonts w:cs="Arial"/>
        </w:rPr>
        <w:t>has</w:t>
      </w:r>
      <w:r w:rsidR="00A61AA6">
        <w:rPr>
          <w:rFonts w:cs="Arial"/>
        </w:rPr>
        <w:t>,</w:t>
      </w:r>
      <w:r w:rsidR="00EC674A">
        <w:rPr>
          <w:rFonts w:cs="Arial"/>
        </w:rPr>
        <w:t xml:space="preserve"> himself</w:t>
      </w:r>
      <w:r w:rsidR="00A61AA6">
        <w:rPr>
          <w:rFonts w:cs="Arial"/>
        </w:rPr>
        <w:t>, also</w:t>
      </w:r>
      <w:r w:rsidR="00EC674A">
        <w:rPr>
          <w:rFonts w:cs="Arial"/>
        </w:rPr>
        <w:t xml:space="preserve"> give</w:t>
      </w:r>
      <w:r w:rsidR="006832C2">
        <w:rPr>
          <w:rFonts w:cs="Arial"/>
        </w:rPr>
        <w:t>n</w:t>
      </w:r>
      <w:r w:rsidR="00EC674A">
        <w:rPr>
          <w:rFonts w:cs="Arial"/>
        </w:rPr>
        <w:t xml:space="preserve"> notice of </w:t>
      </w:r>
      <w:r>
        <w:rPr>
          <w:rFonts w:cs="Arial"/>
        </w:rPr>
        <w:t>the issue of relative and mutual wrongdoing in both the companion foreclosure action and here.</w:t>
      </w:r>
      <w:r>
        <w:rPr>
          <w:rStyle w:val="FootnoteReference"/>
          <w:rFonts w:cs="Arial"/>
        </w:rPr>
        <w:footnoteReference w:id="10"/>
      </w:r>
      <w:r>
        <w:rPr>
          <w:rFonts w:cs="Arial"/>
        </w:rPr>
        <w:t xml:space="preserve"> He </w:t>
      </w:r>
      <w:r w:rsidR="00F579FD">
        <w:rPr>
          <w:rFonts w:cs="Arial"/>
        </w:rPr>
        <w:t xml:space="preserve">has </w:t>
      </w:r>
      <w:r w:rsidR="00B95972">
        <w:rPr>
          <w:rFonts w:cs="Arial"/>
        </w:rPr>
        <w:t xml:space="preserve">also </w:t>
      </w:r>
      <w:r>
        <w:rPr>
          <w:rFonts w:cs="Arial"/>
        </w:rPr>
        <w:t>raised t</w:t>
      </w:r>
      <w:r w:rsidRPr="005A41D6">
        <w:rPr>
          <w:rFonts w:cs="Arial"/>
          <w:color w:val="000000"/>
          <w:bdr w:val="none" w:sz="0" w:space="0" w:color="auto" w:frame="1"/>
        </w:rPr>
        <w:t xml:space="preserve">he </w:t>
      </w:r>
      <w:r w:rsidRPr="005A41D6">
        <w:rPr>
          <w:rFonts w:cs="Arial"/>
          <w:color w:val="000000"/>
          <w:bdr w:val="none" w:sz="0" w:space="0" w:color="auto" w:frame="1"/>
        </w:rPr>
        <w:lastRenderedPageBreak/>
        <w:t>doctrine of </w:t>
      </w:r>
      <w:r w:rsidRPr="005A41D6">
        <w:rPr>
          <w:rFonts w:cs="Arial"/>
          <w:i/>
          <w:iCs/>
          <w:color w:val="000000"/>
          <w:bdr w:val="none" w:sz="0" w:space="0" w:color="auto" w:frame="1"/>
        </w:rPr>
        <w:t>in pari delicto</w:t>
      </w:r>
      <w:r w:rsidRPr="00C27813">
        <w:rPr>
          <w:rFonts w:cs="Arial"/>
          <w:color w:val="000000"/>
          <w:bdr w:val="none" w:sz="0" w:space="0" w:color="auto" w:frame="1"/>
        </w:rPr>
        <w:t>, which has been recognized in almost all jurisdiction</w:t>
      </w:r>
      <w:r>
        <w:rPr>
          <w:rFonts w:cs="Arial"/>
          <w:color w:val="000000"/>
          <w:bdr w:val="none" w:sz="0" w:space="0" w:color="auto" w:frame="1"/>
        </w:rPr>
        <w:t>s</w:t>
      </w:r>
      <w:r w:rsidR="00EC674A">
        <w:rPr>
          <w:rFonts w:cs="Arial"/>
          <w:color w:val="000000"/>
          <w:bdr w:val="none" w:sz="0" w:space="0" w:color="auto" w:frame="1"/>
        </w:rPr>
        <w:t xml:space="preserve"> and </w:t>
      </w:r>
      <w:r w:rsidRPr="005A41D6">
        <w:rPr>
          <w:rFonts w:cs="Arial"/>
          <w:color w:val="000000"/>
          <w:bdr w:val="none" w:sz="0" w:space="0" w:color="auto" w:frame="1"/>
        </w:rPr>
        <w:t xml:space="preserve">provides that a </w:t>
      </w:r>
      <w:r>
        <w:rPr>
          <w:rFonts w:cs="Arial"/>
          <w:color w:val="000000"/>
          <w:bdr w:val="none" w:sz="0" w:space="0" w:color="auto" w:frame="1"/>
        </w:rPr>
        <w:t>party</w:t>
      </w:r>
      <w:r w:rsidRPr="005A41D6">
        <w:rPr>
          <w:rFonts w:cs="Arial"/>
          <w:color w:val="000000"/>
          <w:bdr w:val="none" w:sz="0" w:space="0" w:color="auto" w:frame="1"/>
        </w:rPr>
        <w:t xml:space="preserve"> may not assert a </w:t>
      </w:r>
      <w:r>
        <w:rPr>
          <w:rFonts w:cs="Arial"/>
          <w:color w:val="000000"/>
          <w:bdr w:val="none" w:sz="0" w:space="0" w:color="auto" w:frame="1"/>
        </w:rPr>
        <w:t>position</w:t>
      </w:r>
      <w:r w:rsidRPr="005A41D6">
        <w:rPr>
          <w:rFonts w:cs="Arial"/>
          <w:color w:val="000000"/>
          <w:bdr w:val="none" w:sz="0" w:space="0" w:color="auto" w:frame="1"/>
        </w:rPr>
        <w:t xml:space="preserve"> against a</w:t>
      </w:r>
      <w:r>
        <w:rPr>
          <w:rFonts w:cs="Arial"/>
          <w:color w:val="000000"/>
          <w:bdr w:val="none" w:sz="0" w:space="0" w:color="auto" w:frame="1"/>
        </w:rPr>
        <w:t>nother</w:t>
      </w:r>
      <w:r w:rsidRPr="005A41D6">
        <w:rPr>
          <w:rFonts w:cs="Arial"/>
          <w:color w:val="000000"/>
          <w:bdr w:val="none" w:sz="0" w:space="0" w:color="auto" w:frame="1"/>
        </w:rPr>
        <w:t xml:space="preserve"> if the </w:t>
      </w:r>
      <w:r>
        <w:rPr>
          <w:rFonts w:cs="Arial"/>
          <w:color w:val="000000"/>
          <w:bdr w:val="none" w:sz="0" w:space="0" w:color="auto" w:frame="1"/>
        </w:rPr>
        <w:t xml:space="preserve">party complaining </w:t>
      </w:r>
      <w:r w:rsidRPr="005A41D6">
        <w:rPr>
          <w:rFonts w:cs="Arial"/>
          <w:color w:val="000000"/>
          <w:bdr w:val="none" w:sz="0" w:space="0" w:color="auto" w:frame="1"/>
        </w:rPr>
        <w:t>bears fault for the claim. </w:t>
      </w:r>
      <w:r w:rsidRPr="005A41D6">
        <w:rPr>
          <w:rFonts w:cs="Arial"/>
          <w:i/>
          <w:iCs/>
          <w:color w:val="000000"/>
          <w:bdr w:val="none" w:sz="0" w:space="0" w:color="auto" w:frame="1"/>
        </w:rPr>
        <w:t>Official Comm. of Unsecured Creditors v. R.F. Lafferty &amp; Co.</w:t>
      </w:r>
      <w:r w:rsidRPr="005A41D6">
        <w:rPr>
          <w:rFonts w:cs="Arial"/>
          <w:color w:val="000000"/>
          <w:bdr w:val="none" w:sz="0" w:space="0" w:color="auto" w:frame="1"/>
        </w:rPr>
        <w:t>, 267 F.3d 340, 354 (3d Cir. 2001). </w:t>
      </w:r>
      <w:r w:rsidRPr="00C27813">
        <w:rPr>
          <w:rFonts w:cs="Arial"/>
          <w:color w:val="000000"/>
          <w:bdr w:val="none" w:sz="0" w:space="0" w:color="auto" w:frame="1"/>
        </w:rPr>
        <w:t>In 1985, the U.S. Supreme Court applied it, stating: “</w:t>
      </w:r>
      <w:r w:rsidRPr="005A41D6">
        <w:rPr>
          <w:rFonts w:cs="Arial"/>
          <w:color w:val="000000"/>
          <w:bdr w:val="none" w:sz="0" w:space="0" w:color="auto" w:frame="1"/>
        </w:rPr>
        <w:t>The entire phrase </w:t>
      </w:r>
      <w:r w:rsidRPr="005A41D6">
        <w:rPr>
          <w:rFonts w:cs="Arial"/>
          <w:i/>
          <w:iCs/>
          <w:color w:val="000000"/>
          <w:bdr w:val="none" w:sz="0" w:space="0" w:color="auto" w:frame="1"/>
        </w:rPr>
        <w:t>in pari delicto potior est conditio defendantis</w:t>
      </w:r>
      <w:r w:rsidRPr="005A41D6">
        <w:rPr>
          <w:rFonts w:cs="Arial"/>
          <w:color w:val="000000"/>
          <w:bdr w:val="none" w:sz="0" w:space="0" w:color="auto" w:frame="1"/>
        </w:rPr>
        <w:t> translates literally to mean, "[i]n a case of equal or mutual fault. . .the position of the [defending] party. . .is the better one" </w:t>
      </w:r>
      <w:r w:rsidRPr="005A41D6">
        <w:rPr>
          <w:rFonts w:cs="Arial"/>
          <w:i/>
          <w:iCs/>
          <w:color w:val="000000"/>
          <w:bdr w:val="none" w:sz="0" w:space="0" w:color="auto" w:frame="1"/>
        </w:rPr>
        <w:t>Bateman Eichler, Hill Richards, Inc. v. Berner</w:t>
      </w:r>
      <w:r w:rsidRPr="005A41D6">
        <w:rPr>
          <w:rFonts w:cs="Arial"/>
          <w:color w:val="000000"/>
          <w:bdr w:val="none" w:sz="0" w:space="0" w:color="auto" w:frame="1"/>
        </w:rPr>
        <w:t>, 472 U.S. 299, 306 (1985) (</w:t>
      </w:r>
      <w:r w:rsidRPr="00F579FD">
        <w:rPr>
          <w:rFonts w:cs="Arial"/>
          <w:i/>
          <w:iCs/>
          <w:color w:val="000000"/>
          <w:bdr w:val="none" w:sz="0" w:space="0" w:color="auto" w:frame="1"/>
        </w:rPr>
        <w:t>citing</w:t>
      </w:r>
      <w:r w:rsidRPr="005A41D6">
        <w:rPr>
          <w:rFonts w:cs="Arial"/>
          <w:color w:val="000000"/>
          <w:bdr w:val="none" w:sz="0" w:space="0" w:color="auto" w:frame="1"/>
        </w:rPr>
        <w:t> </w:t>
      </w:r>
      <w:r w:rsidRPr="005A41D6">
        <w:rPr>
          <w:rFonts w:cs="Arial"/>
          <w:i/>
          <w:iCs/>
          <w:color w:val="000000"/>
          <w:bdr w:val="none" w:sz="0" w:space="0" w:color="auto" w:frame="1"/>
        </w:rPr>
        <w:t>Black' s Law Dictionary</w:t>
      </w:r>
      <w:r w:rsidRPr="005A41D6">
        <w:rPr>
          <w:rFonts w:cs="Arial"/>
          <w:color w:val="000000"/>
          <w:bdr w:val="none" w:sz="0" w:space="0" w:color="auto" w:frame="1"/>
        </w:rPr>
        <w:t> 711. (5th ed. 1979)). As an equitable doctrine, </w:t>
      </w:r>
      <w:r w:rsidRPr="005A41D6">
        <w:rPr>
          <w:rFonts w:cs="Arial"/>
          <w:i/>
          <w:iCs/>
          <w:color w:val="000000"/>
          <w:bdr w:val="none" w:sz="0" w:space="0" w:color="auto" w:frame="1"/>
        </w:rPr>
        <w:t>in pari delicto</w:t>
      </w:r>
      <w:r w:rsidRPr="005A41D6">
        <w:rPr>
          <w:rFonts w:cs="Arial"/>
          <w:color w:val="000000"/>
          <w:bdr w:val="none" w:sz="0" w:space="0" w:color="auto" w:frame="1"/>
        </w:rPr>
        <w:t> applies to prevent culpable parties</w:t>
      </w:r>
      <w:r>
        <w:rPr>
          <w:rStyle w:val="FootnoteReference"/>
          <w:rFonts w:cs="Arial"/>
          <w:color w:val="000000"/>
          <w:bdr w:val="none" w:sz="0" w:space="0" w:color="auto" w:frame="1"/>
        </w:rPr>
        <w:footnoteReference w:id="11"/>
      </w:r>
      <w:r w:rsidRPr="005A41D6">
        <w:rPr>
          <w:rFonts w:cs="Arial"/>
          <w:color w:val="000000"/>
          <w:bdr w:val="none" w:sz="0" w:space="0" w:color="auto" w:frame="1"/>
        </w:rPr>
        <w:t xml:space="preserve"> from benefitting from their wrongdoings, </w:t>
      </w:r>
      <w:r w:rsidRPr="005A41D6">
        <w:rPr>
          <w:rFonts w:cs="Arial"/>
          <w:i/>
          <w:iCs/>
          <w:color w:val="000000"/>
          <w:bdr w:val="none" w:sz="0" w:space="0" w:color="auto" w:frame="1"/>
        </w:rPr>
        <w:t>Official Comm</w:t>
      </w:r>
      <w:r w:rsidR="005F03D6">
        <w:rPr>
          <w:rFonts w:cs="Arial"/>
          <w:i/>
          <w:iCs/>
          <w:color w:val="000000"/>
          <w:bdr w:val="none" w:sz="0" w:space="0" w:color="auto" w:frame="1"/>
        </w:rPr>
        <w:t>. at</w:t>
      </w:r>
      <w:r w:rsidRPr="005A41D6">
        <w:rPr>
          <w:rFonts w:cs="Arial"/>
          <w:color w:val="000000"/>
          <w:bdr w:val="none" w:sz="0" w:space="0" w:color="auto" w:frame="1"/>
        </w:rPr>
        <w:t> 437 F.3d 1145, 1152, and to ensure that courts do not "lend their good offices to mediating disputes among wrongdoers." </w:t>
      </w:r>
      <w:r w:rsidRPr="005A41D6">
        <w:rPr>
          <w:rFonts w:cs="Arial"/>
          <w:i/>
          <w:iCs/>
          <w:color w:val="000000"/>
          <w:bdr w:val="none" w:sz="0" w:space="0" w:color="auto" w:frame="1"/>
        </w:rPr>
        <w:t xml:space="preserve">Bateman </w:t>
      </w:r>
      <w:r w:rsidRPr="005A41D6">
        <w:rPr>
          <w:rFonts w:cs="Arial"/>
          <w:color w:val="000000"/>
          <w:bdr w:val="none" w:sz="0" w:space="0" w:color="auto" w:frame="1"/>
        </w:rPr>
        <w:t>at 306</w:t>
      </w:r>
      <w:r w:rsidR="005F03D6">
        <w:rPr>
          <w:rFonts w:cs="Arial"/>
          <w:color w:val="000000"/>
          <w:bdr w:val="none" w:sz="0" w:space="0" w:color="auto" w:frame="1"/>
        </w:rPr>
        <w:t>.</w:t>
      </w:r>
    </w:p>
    <w:p w14:paraId="0ED305E6" w14:textId="2F59E035" w:rsidR="000031AC" w:rsidRDefault="000031AC" w:rsidP="000A7D63">
      <w:pPr>
        <w:ind w:firstLine="720"/>
        <w:jc w:val="both"/>
        <w:textAlignment w:val="baseline"/>
        <w:outlineLvl w:val="0"/>
        <w:rPr>
          <w:rFonts w:cs="Arial"/>
          <w:color w:val="000000"/>
          <w:bdr w:val="none" w:sz="0" w:space="0" w:color="auto" w:frame="1"/>
        </w:rPr>
      </w:pPr>
      <w:r>
        <w:rPr>
          <w:rFonts w:cs="Arial"/>
          <w:color w:val="000000"/>
          <w:bdr w:val="none" w:sz="0" w:space="0" w:color="auto" w:frame="1"/>
        </w:rPr>
        <w:t xml:space="preserve">In the </w:t>
      </w:r>
      <w:r w:rsidRPr="000D2A30">
        <w:rPr>
          <w:rFonts w:cs="Arial"/>
          <w:color w:val="000000"/>
          <w:bdr w:val="none" w:sz="0" w:space="0" w:color="auto" w:frame="1"/>
        </w:rPr>
        <w:t>Virgin Islands</w:t>
      </w:r>
    </w:p>
    <w:p w14:paraId="25FB185D" w14:textId="77777777" w:rsidR="000A7D63" w:rsidRPr="000A7D63" w:rsidRDefault="000A7D63" w:rsidP="000A7D63">
      <w:pPr>
        <w:ind w:firstLine="720"/>
        <w:jc w:val="both"/>
        <w:textAlignment w:val="baseline"/>
        <w:outlineLvl w:val="0"/>
        <w:rPr>
          <w:rFonts w:cs="Arial"/>
          <w:color w:val="000000"/>
          <w:sz w:val="16"/>
          <w:szCs w:val="16"/>
          <w:bdr w:val="none" w:sz="0" w:space="0" w:color="auto" w:frame="1"/>
        </w:rPr>
      </w:pPr>
    </w:p>
    <w:p w14:paraId="50960D90" w14:textId="54A7532C" w:rsidR="000031AC" w:rsidRDefault="000031AC" w:rsidP="000031AC">
      <w:pPr>
        <w:spacing w:line="480" w:lineRule="auto"/>
        <w:jc w:val="both"/>
        <w:textAlignment w:val="baseline"/>
        <w:outlineLvl w:val="0"/>
        <w:rPr>
          <w:rFonts w:cs="Arial"/>
          <w:bdr w:val="none" w:sz="0" w:space="0" w:color="auto" w:frame="1"/>
        </w:rPr>
      </w:pPr>
      <w:r w:rsidRPr="00C27813">
        <w:rPr>
          <w:rFonts w:cs="Arial"/>
          <w:color w:val="000000"/>
          <w:bdr w:val="none" w:sz="0" w:space="0" w:color="auto" w:frame="1"/>
        </w:rPr>
        <w:tab/>
      </w:r>
      <w:r w:rsidR="005F03D6">
        <w:rPr>
          <w:rFonts w:cs="Arial"/>
          <w:color w:val="000000"/>
          <w:bdr w:val="none" w:sz="0" w:space="0" w:color="auto" w:frame="1"/>
        </w:rPr>
        <w:t>T</w:t>
      </w:r>
      <w:r>
        <w:rPr>
          <w:rFonts w:cs="Arial"/>
          <w:color w:val="000000"/>
          <w:bdr w:val="none" w:sz="0" w:space="0" w:color="auto" w:frame="1"/>
        </w:rPr>
        <w:t xml:space="preserve">he effect of </w:t>
      </w:r>
      <w:r w:rsidRPr="001B6F51">
        <w:rPr>
          <w:rFonts w:cs="Arial"/>
          <w:i/>
          <w:iCs/>
          <w:color w:val="000000"/>
          <w:bdr w:val="none" w:sz="0" w:space="0" w:color="auto" w:frame="1"/>
        </w:rPr>
        <w:t xml:space="preserve">relative degrees of </w:t>
      </w:r>
      <w:r>
        <w:rPr>
          <w:rFonts w:cs="Arial"/>
          <w:i/>
          <w:iCs/>
          <w:color w:val="000000"/>
          <w:bdr w:val="none" w:sz="0" w:space="0" w:color="auto" w:frame="1"/>
        </w:rPr>
        <w:t>wrongdoing</w:t>
      </w:r>
      <w:r w:rsidR="003065FE">
        <w:rPr>
          <w:rFonts w:cs="Arial"/>
          <w:i/>
          <w:iCs/>
          <w:color w:val="000000"/>
          <w:bdr w:val="none" w:sz="0" w:space="0" w:color="auto" w:frame="1"/>
        </w:rPr>
        <w:t xml:space="preserve"> </w:t>
      </w:r>
      <w:r w:rsidR="005F03D6">
        <w:rPr>
          <w:rFonts w:cs="Arial"/>
          <w:i/>
          <w:iCs/>
          <w:color w:val="000000"/>
          <w:bdr w:val="none" w:sz="0" w:space="0" w:color="auto" w:frame="1"/>
        </w:rPr>
        <w:t>m</w:t>
      </w:r>
      <w:r>
        <w:rPr>
          <w:rFonts w:cs="Arial"/>
          <w:color w:val="000000"/>
          <w:bdr w:val="none" w:sz="0" w:space="0" w:color="auto" w:frame="1"/>
        </w:rPr>
        <w:t xml:space="preserve">ust be </w:t>
      </w:r>
      <w:r w:rsidR="005F03D6">
        <w:rPr>
          <w:rFonts w:cs="Arial"/>
          <w:color w:val="000000"/>
          <w:bdr w:val="none" w:sz="0" w:space="0" w:color="auto" w:frame="1"/>
        </w:rPr>
        <w:t>viewed under USVI law</w:t>
      </w:r>
      <w:r>
        <w:rPr>
          <w:rFonts w:cs="Arial"/>
          <w:color w:val="000000"/>
          <w:bdr w:val="none" w:sz="0" w:space="0" w:color="auto" w:frame="1"/>
        </w:rPr>
        <w:t xml:space="preserve">. </w:t>
      </w:r>
      <w:r w:rsidR="0056292C">
        <w:rPr>
          <w:rFonts w:cs="Arial"/>
          <w:color w:val="000000"/>
          <w:bdr w:val="none" w:sz="0" w:space="0" w:color="auto" w:frame="1"/>
        </w:rPr>
        <w:t>In</w:t>
      </w:r>
      <w:r w:rsidRPr="00C27813">
        <w:rPr>
          <w:rFonts w:cs="Arial"/>
          <w:color w:val="000000"/>
          <w:bdr w:val="none" w:sz="0" w:space="0" w:color="auto" w:frame="1"/>
        </w:rPr>
        <w:t xml:space="preserve"> the USVI the doctrine of “in pari delicto” has </w:t>
      </w:r>
      <w:r w:rsidR="00B95972">
        <w:rPr>
          <w:rFonts w:cs="Arial"/>
          <w:color w:val="000000"/>
          <w:bdr w:val="none" w:sz="0" w:space="0" w:color="auto" w:frame="1"/>
        </w:rPr>
        <w:t xml:space="preserve">been </w:t>
      </w:r>
      <w:r w:rsidRPr="00C27813">
        <w:rPr>
          <w:rFonts w:cs="Arial"/>
          <w:color w:val="000000"/>
          <w:bdr w:val="none" w:sz="0" w:space="0" w:color="auto" w:frame="1"/>
        </w:rPr>
        <w:t xml:space="preserve">discussed </w:t>
      </w:r>
      <w:r w:rsidR="0056292C">
        <w:rPr>
          <w:rFonts w:cs="Arial"/>
          <w:color w:val="000000"/>
          <w:bdr w:val="none" w:sz="0" w:space="0" w:color="auto" w:frame="1"/>
        </w:rPr>
        <w:t>infrequently</w:t>
      </w:r>
      <w:r w:rsidRPr="00C27813">
        <w:rPr>
          <w:rFonts w:cs="Arial"/>
          <w:color w:val="000000"/>
          <w:bdr w:val="none" w:sz="0" w:space="0" w:color="auto" w:frame="1"/>
        </w:rPr>
        <w:t xml:space="preserve">, </w:t>
      </w:r>
      <w:r w:rsidR="0056292C">
        <w:rPr>
          <w:rFonts w:cs="Arial"/>
          <w:color w:val="000000"/>
          <w:bdr w:val="none" w:sz="0" w:space="0" w:color="auto" w:frame="1"/>
        </w:rPr>
        <w:t xml:space="preserve">mostly </w:t>
      </w:r>
      <w:r w:rsidRPr="00C27813">
        <w:rPr>
          <w:rFonts w:cs="Arial"/>
          <w:color w:val="000000"/>
          <w:bdr w:val="none" w:sz="0" w:space="0" w:color="auto" w:frame="1"/>
        </w:rPr>
        <w:t>in passing</w:t>
      </w:r>
      <w:r w:rsidR="00814B49">
        <w:rPr>
          <w:rFonts w:cs="Arial"/>
          <w:color w:val="000000"/>
          <w:bdr w:val="none" w:sz="0" w:space="0" w:color="auto" w:frame="1"/>
        </w:rPr>
        <w:t xml:space="preserve">. </w:t>
      </w:r>
      <w:r w:rsidR="00C1407C" w:rsidRPr="00C1407C">
        <w:rPr>
          <w:rFonts w:cs="Arial"/>
          <w:i/>
          <w:iCs/>
          <w:color w:val="000000"/>
          <w:bdr w:val="none" w:sz="0" w:space="0" w:color="auto" w:frame="1"/>
        </w:rPr>
        <w:t>See</w:t>
      </w:r>
      <w:r w:rsidR="00C1407C">
        <w:rPr>
          <w:rFonts w:cs="Arial"/>
          <w:color w:val="000000"/>
          <w:bdr w:val="none" w:sz="0" w:space="0" w:color="auto" w:frame="1"/>
        </w:rPr>
        <w:t xml:space="preserve"> </w:t>
      </w:r>
      <w:r w:rsidR="0056292C" w:rsidRPr="0056292C">
        <w:rPr>
          <w:i/>
          <w:iCs/>
          <w:bdr w:val="none" w:sz="0" w:space="0" w:color="auto" w:frame="1"/>
        </w:rPr>
        <w:t>Preiss v. Severe</w:t>
      </w:r>
      <w:r w:rsidR="0056292C" w:rsidRPr="0056292C">
        <w:rPr>
          <w:bdr w:val="none" w:sz="0" w:space="0" w:color="auto" w:frame="1"/>
        </w:rPr>
        <w:t xml:space="preserve">, </w:t>
      </w:r>
      <w:r w:rsidR="00C1407C" w:rsidRPr="0056292C">
        <w:rPr>
          <w:bdr w:val="none" w:sz="0" w:space="0" w:color="auto" w:frame="1"/>
        </w:rPr>
        <w:t>D.C. Civil No</w:t>
      </w:r>
      <w:r w:rsidR="0056292C" w:rsidRPr="0056292C">
        <w:rPr>
          <w:bdr w:val="none" w:sz="0" w:space="0" w:color="auto" w:frame="1"/>
        </w:rPr>
        <w:t>. 1985/278, 1986 U.S. Dist. LEXIS 17779, at *1 (D.V.I. Nov. 13, 1986)</w:t>
      </w:r>
      <w:r w:rsidR="0056292C">
        <w:rPr>
          <w:bdr w:val="none" w:sz="0" w:space="0" w:color="auto" w:frame="1"/>
        </w:rPr>
        <w:t>(“</w:t>
      </w:r>
      <w:r w:rsidR="0056292C">
        <w:rPr>
          <w:color w:val="000000"/>
        </w:rPr>
        <w:t>seller did not raise…</w:t>
      </w:r>
      <w:r w:rsidR="0056292C">
        <w:rPr>
          <w:rStyle w:val="sssh"/>
          <w:color w:val="000000"/>
          <w:bdr w:val="none" w:sz="0" w:space="0" w:color="auto" w:frame="1"/>
        </w:rPr>
        <w:t>in pari delicto</w:t>
      </w:r>
      <w:r w:rsidR="0056292C">
        <w:rPr>
          <w:color w:val="000000"/>
        </w:rPr>
        <w:t xml:space="preserve"> as an affirmative defense </w:t>
      </w:r>
      <w:r w:rsidR="0056292C">
        <w:rPr>
          <w:color w:val="000000"/>
        </w:rPr>
        <w:lastRenderedPageBreak/>
        <w:t>to the counterclaim and also did not raise the defense at trial or on appeal. Therefore, the court held that the defense had been waived by the seller.”)</w:t>
      </w:r>
      <w:r w:rsidR="00C1407C">
        <w:rPr>
          <w:color w:val="000000"/>
        </w:rPr>
        <w:t xml:space="preserve"> </w:t>
      </w:r>
      <w:r w:rsidR="00C1407C" w:rsidRPr="00C1407C">
        <w:rPr>
          <w:i/>
          <w:iCs/>
          <w:color w:val="000000"/>
        </w:rPr>
        <w:t>see also</w:t>
      </w:r>
      <w:r w:rsidR="00C1407C">
        <w:rPr>
          <w:color w:val="000000"/>
        </w:rPr>
        <w:t xml:space="preserve"> </w:t>
      </w:r>
      <w:r w:rsidR="0056292C">
        <w:rPr>
          <w:color w:val="000000"/>
        </w:rPr>
        <w:br/>
      </w:r>
      <w:r w:rsidR="00C1407C" w:rsidRPr="00C27813">
        <w:rPr>
          <w:rFonts w:cs="Arial"/>
          <w:i/>
          <w:iCs/>
          <w:bdr w:val="none" w:sz="0" w:space="0" w:color="auto" w:frame="1"/>
        </w:rPr>
        <w:t>Willie v. Amerada Hess Corp.</w:t>
      </w:r>
      <w:r w:rsidR="00C1407C" w:rsidRPr="00C27813">
        <w:rPr>
          <w:rFonts w:cs="Arial"/>
          <w:bdr w:val="none" w:sz="0" w:space="0" w:color="auto" w:frame="1"/>
        </w:rPr>
        <w:t>, 66 V.I. 23, 45 (Super. Ct. 2017)</w:t>
      </w:r>
      <w:r w:rsidR="00C1407C">
        <w:rPr>
          <w:rFonts w:cs="Arial"/>
          <w:bdr w:val="none" w:sz="0" w:space="0" w:color="auto" w:frame="1"/>
        </w:rPr>
        <w:t>(</w:t>
      </w:r>
      <w:r w:rsidRPr="00C27813">
        <w:rPr>
          <w:rFonts w:cs="Arial"/>
          <w:color w:val="000000"/>
          <w:bdr w:val="none" w:sz="0" w:space="0" w:color="auto" w:frame="1"/>
        </w:rPr>
        <w:t>referred to in a discussion of the liability of joint tortfeasors.</w:t>
      </w:r>
      <w:r w:rsidR="00C1407C">
        <w:rPr>
          <w:rFonts w:cs="Arial"/>
          <w:color w:val="000000"/>
          <w:bdr w:val="none" w:sz="0" w:space="0" w:color="auto" w:frame="1"/>
        </w:rPr>
        <w:t>)</w:t>
      </w:r>
      <w:r w:rsidRPr="00C27813">
        <w:rPr>
          <w:rFonts w:cs="Arial"/>
          <w:color w:val="000000"/>
          <w:bdr w:val="none" w:sz="0" w:space="0" w:color="auto" w:frame="1"/>
        </w:rPr>
        <w:t xml:space="preserve"> </w:t>
      </w:r>
      <w:r w:rsidR="00C1407C">
        <w:rPr>
          <w:rFonts w:cs="Arial"/>
          <w:color w:val="000000"/>
          <w:bdr w:val="none" w:sz="0" w:space="0" w:color="auto" w:frame="1"/>
        </w:rPr>
        <w:t>It</w:t>
      </w:r>
      <w:r w:rsidRPr="00C27813">
        <w:rPr>
          <w:rFonts w:cs="Arial"/>
          <w:color w:val="000000"/>
          <w:bdr w:val="none" w:sz="0" w:space="0" w:color="auto" w:frame="1"/>
        </w:rPr>
        <w:t xml:space="preserve"> has never been examined by </w:t>
      </w:r>
      <w:r w:rsidR="00C1407C">
        <w:rPr>
          <w:rFonts w:cs="Arial"/>
          <w:color w:val="000000"/>
          <w:bdr w:val="none" w:sz="0" w:space="0" w:color="auto" w:frame="1"/>
        </w:rPr>
        <w:t>our</w:t>
      </w:r>
      <w:r w:rsidRPr="00C27813">
        <w:rPr>
          <w:rFonts w:cs="Arial"/>
          <w:color w:val="000000"/>
          <w:bdr w:val="none" w:sz="0" w:space="0" w:color="auto" w:frame="1"/>
        </w:rPr>
        <w:t xml:space="preserve"> Supreme Court—much less </w:t>
      </w:r>
      <w:r w:rsidR="00C1407C">
        <w:rPr>
          <w:rFonts w:cs="Arial"/>
          <w:color w:val="000000"/>
          <w:bdr w:val="none" w:sz="0" w:space="0" w:color="auto" w:frame="1"/>
        </w:rPr>
        <w:t>as to</w:t>
      </w:r>
      <w:r w:rsidRPr="00C27813">
        <w:rPr>
          <w:rFonts w:cs="Arial"/>
          <w:color w:val="000000"/>
          <w:bdr w:val="none" w:sz="0" w:space="0" w:color="auto" w:frame="1"/>
        </w:rPr>
        <w:t xml:space="preserve"> </w:t>
      </w:r>
      <w:r w:rsidR="00B95972">
        <w:rPr>
          <w:rFonts w:cs="Arial"/>
          <w:color w:val="000000"/>
          <w:bdr w:val="none" w:sz="0" w:space="0" w:color="auto" w:frame="1"/>
        </w:rPr>
        <w:t xml:space="preserve">sham </w:t>
      </w:r>
      <w:r w:rsidR="005F03D6">
        <w:rPr>
          <w:rFonts w:cs="Arial"/>
          <w:color w:val="000000"/>
          <w:bdr w:val="none" w:sz="0" w:space="0" w:color="auto" w:frame="1"/>
        </w:rPr>
        <w:t xml:space="preserve">contracts </w:t>
      </w:r>
      <w:r w:rsidRPr="00C27813">
        <w:rPr>
          <w:rFonts w:cs="Arial"/>
          <w:color w:val="000000"/>
          <w:bdr w:val="none" w:sz="0" w:space="0" w:color="auto" w:frame="1"/>
        </w:rPr>
        <w:t xml:space="preserve">or tax schemes. </w:t>
      </w:r>
      <w:r w:rsidRPr="00C27813">
        <w:rPr>
          <w:rFonts w:cs="Arial"/>
          <w:bdr w:val="none" w:sz="0" w:space="0" w:color="auto" w:frame="1"/>
        </w:rPr>
        <w:t xml:space="preserve">Thus, a </w:t>
      </w:r>
      <w:r w:rsidRPr="00C27813">
        <w:rPr>
          <w:rFonts w:cs="Arial"/>
          <w:i/>
          <w:iCs/>
          <w:bdr w:val="none" w:sz="0" w:space="0" w:color="auto" w:frame="1"/>
        </w:rPr>
        <w:t>Banks</w:t>
      </w:r>
      <w:r w:rsidRPr="00C27813">
        <w:rPr>
          <w:rFonts w:cs="Arial"/>
          <w:bdr w:val="none" w:sz="0" w:space="0" w:color="auto" w:frame="1"/>
        </w:rPr>
        <w:t xml:space="preserve"> analysis is necessary.</w:t>
      </w:r>
    </w:p>
    <w:p w14:paraId="54FE2192" w14:textId="10883F9A" w:rsidR="000031AC" w:rsidRDefault="000031AC" w:rsidP="000A7D63">
      <w:pPr>
        <w:ind w:firstLine="720"/>
        <w:jc w:val="both"/>
        <w:textAlignment w:val="baseline"/>
        <w:outlineLvl w:val="0"/>
        <w:rPr>
          <w:rFonts w:cs="Arial"/>
        </w:rPr>
      </w:pPr>
      <w:r w:rsidRPr="00E274AC">
        <w:rPr>
          <w:rFonts w:cs="Arial"/>
        </w:rPr>
        <w:t>Survey of Jurisdictions</w:t>
      </w:r>
      <w:r w:rsidR="00F72A05">
        <w:rPr>
          <w:rFonts w:cs="Arial"/>
        </w:rPr>
        <w:t xml:space="preserve"> for Majority Rule</w:t>
      </w:r>
    </w:p>
    <w:p w14:paraId="55FCB50F" w14:textId="77777777" w:rsidR="000A7D63" w:rsidRPr="000A7D63" w:rsidRDefault="000A7D63" w:rsidP="000A7D63">
      <w:pPr>
        <w:ind w:firstLine="720"/>
        <w:jc w:val="both"/>
        <w:textAlignment w:val="baseline"/>
        <w:outlineLvl w:val="0"/>
        <w:rPr>
          <w:rFonts w:cs="Arial"/>
          <w:sz w:val="16"/>
          <w:szCs w:val="16"/>
        </w:rPr>
      </w:pPr>
    </w:p>
    <w:p w14:paraId="345AB734" w14:textId="6F77F395" w:rsidR="000031AC" w:rsidRPr="00C27813" w:rsidRDefault="000031AC" w:rsidP="000031AC">
      <w:pPr>
        <w:spacing w:line="480" w:lineRule="auto"/>
        <w:jc w:val="both"/>
        <w:outlineLvl w:val="0"/>
        <w:rPr>
          <w:rFonts w:cs="Arial"/>
        </w:rPr>
      </w:pPr>
      <w:r w:rsidRPr="00C27813">
        <w:rPr>
          <w:rFonts w:cs="Arial"/>
        </w:rPr>
        <w:tab/>
        <w:t>A survey of all jurisdictions shows that this is an almost universally accepted doctrine.</w:t>
      </w:r>
      <w:r w:rsidRPr="00C27813">
        <w:rPr>
          <w:rStyle w:val="FootnoteReference"/>
          <w:rFonts w:cs="Arial"/>
        </w:rPr>
        <w:footnoteReference w:id="12"/>
      </w:r>
      <w:r w:rsidR="003065FE">
        <w:rPr>
          <w:rFonts w:cs="Arial"/>
        </w:rPr>
        <w:t xml:space="preserve"> </w:t>
      </w:r>
      <w:r w:rsidRPr="00C27813">
        <w:rPr>
          <w:rFonts w:cs="Arial"/>
        </w:rPr>
        <w:t xml:space="preserve">A LEXIS search of the </w:t>
      </w:r>
      <w:r w:rsidR="00F579FD">
        <w:rPr>
          <w:rFonts w:cs="Arial"/>
        </w:rPr>
        <w:t>phrase</w:t>
      </w:r>
      <w:r w:rsidRPr="00C27813">
        <w:rPr>
          <w:rFonts w:cs="Arial"/>
        </w:rPr>
        <w:t xml:space="preserve"> returns over </w:t>
      </w:r>
      <w:r w:rsidR="003129DA" w:rsidRPr="00C27813">
        <w:rPr>
          <w:rFonts w:cs="Arial"/>
        </w:rPr>
        <w:t>seven thousand</w:t>
      </w:r>
      <w:r w:rsidRPr="00C27813">
        <w:rPr>
          <w:rFonts w:cs="Arial"/>
        </w:rPr>
        <w:t xml:space="preserve"> decisions. </w:t>
      </w:r>
      <w:r>
        <w:rPr>
          <w:rFonts w:cs="Arial"/>
        </w:rPr>
        <w:t xml:space="preserve">A </w:t>
      </w:r>
      <w:r w:rsidR="00B95972">
        <w:rPr>
          <w:rFonts w:cs="Arial"/>
        </w:rPr>
        <w:t>review</w:t>
      </w:r>
      <w:r>
        <w:rPr>
          <w:rFonts w:cs="Arial"/>
        </w:rPr>
        <w:t xml:space="preserve"> of the leading cases shows they are surprisingly uniform.</w:t>
      </w:r>
      <w:r w:rsidR="003065FE">
        <w:rPr>
          <w:rFonts w:cs="Arial"/>
        </w:rPr>
        <w:t xml:space="preserve"> </w:t>
      </w:r>
      <w:r w:rsidRPr="00076BF2">
        <w:rPr>
          <w:rFonts w:cs="Arial"/>
          <w:i/>
          <w:iCs/>
        </w:rPr>
        <w:t xml:space="preserve">In pari delicto </w:t>
      </w:r>
      <w:r w:rsidRPr="00C27813">
        <w:rPr>
          <w:rFonts w:cs="Arial"/>
        </w:rPr>
        <w:t>is what one of those courts calls a “</w:t>
      </w:r>
      <w:r w:rsidRPr="00C27813">
        <w:rPr>
          <w:rStyle w:val="ssrfcpassagedeactivated"/>
          <w:rFonts w:eastAsiaTheme="majorEastAsia" w:cs="Arial"/>
          <w:color w:val="000000"/>
          <w:bdr w:val="none" w:sz="0" w:space="0" w:color="auto" w:frame="1"/>
        </w:rPr>
        <w:t>well-recognized defense” and another refers to as “</w:t>
      </w:r>
      <w:r w:rsidRPr="00C27813">
        <w:rPr>
          <w:rStyle w:val="ssrfcsection"/>
          <w:rFonts w:cs="Arial"/>
          <w:color w:val="000000"/>
          <w:bdr w:val="none" w:sz="0" w:space="0" w:color="auto" w:frame="1"/>
        </w:rPr>
        <w:t>clearly valid affirmative defense under state law.”</w:t>
      </w:r>
      <w:r w:rsidRPr="00C27813">
        <w:rPr>
          <w:rFonts w:cs="Arial"/>
        </w:rPr>
        <w:t xml:space="preserve"> </w:t>
      </w:r>
      <w:r>
        <w:rPr>
          <w:rFonts w:cs="Arial"/>
        </w:rPr>
        <w:t>Moreover, t</w:t>
      </w:r>
      <w:r w:rsidRPr="00C27813">
        <w:rPr>
          <w:rFonts w:cs="Arial"/>
        </w:rPr>
        <w:t xml:space="preserve">his is </w:t>
      </w:r>
      <w:r w:rsidR="00561A82">
        <w:rPr>
          <w:rFonts w:cs="Arial"/>
        </w:rPr>
        <w:t xml:space="preserve">very </w:t>
      </w:r>
      <w:r w:rsidRPr="00C27813">
        <w:rPr>
          <w:rFonts w:cs="Arial"/>
        </w:rPr>
        <w:t xml:space="preserve">old, well-established law. In </w:t>
      </w:r>
      <w:r w:rsidRPr="00C27813">
        <w:rPr>
          <w:rStyle w:val="ssrfcpassagedeactivated"/>
          <w:rFonts w:eastAsiaTheme="majorEastAsia" w:cs="Arial"/>
          <w:color w:val="000000"/>
          <w:bdr w:val="none" w:sz="0" w:space="0" w:color="auto" w:frame="1"/>
        </w:rPr>
        <w:t>Connecticut, the doctrine has been applied for</w:t>
      </w:r>
      <w:r>
        <w:rPr>
          <w:rStyle w:val="ssrfcpassagedeactivated"/>
          <w:rFonts w:eastAsiaTheme="majorEastAsia" w:cs="Arial"/>
          <w:color w:val="000000"/>
          <w:bdr w:val="none" w:sz="0" w:space="0" w:color="auto" w:frame="1"/>
        </w:rPr>
        <w:t xml:space="preserve"> </w:t>
      </w:r>
      <w:r w:rsidRPr="00C27813">
        <w:rPr>
          <w:rStyle w:val="ssrfcpassagedeactivated"/>
          <w:rFonts w:eastAsiaTheme="majorEastAsia" w:cs="Arial"/>
          <w:color w:val="000000"/>
          <w:bdr w:val="none" w:sz="0" w:space="0" w:color="auto" w:frame="1"/>
        </w:rPr>
        <w:t xml:space="preserve">donkey years. </w:t>
      </w:r>
      <w:r>
        <w:rPr>
          <w:rStyle w:val="ssrfcpassagedeactivated"/>
          <w:rFonts w:eastAsiaTheme="majorEastAsia" w:cs="Arial"/>
          <w:color w:val="000000"/>
          <w:bdr w:val="none" w:sz="0" w:space="0" w:color="auto" w:frame="1"/>
        </w:rPr>
        <w:t>In</w:t>
      </w:r>
      <w:r w:rsidRPr="00C27813">
        <w:rPr>
          <w:rStyle w:val="ssrfcpassagedeactivated"/>
          <w:rFonts w:eastAsiaTheme="majorEastAsia" w:cs="Arial"/>
          <w:color w:val="000000"/>
          <w:bdr w:val="none" w:sz="0" w:space="0" w:color="auto" w:frame="1"/>
        </w:rPr>
        <w:t xml:space="preserve"> </w:t>
      </w:r>
      <w:r w:rsidRPr="00C27813">
        <w:rPr>
          <w:rFonts w:cs="Arial"/>
          <w:i/>
          <w:iCs/>
          <w:bdr w:val="none" w:sz="0" w:space="0" w:color="auto" w:frame="1"/>
        </w:rPr>
        <w:t>Flanagan v. M.J.C.C. Realty L.P. (In re Flanagan),</w:t>
      </w:r>
      <w:r w:rsidRPr="00C27813">
        <w:rPr>
          <w:rFonts w:cs="Arial"/>
          <w:bdr w:val="none" w:sz="0" w:space="0" w:color="auto" w:frame="1"/>
        </w:rPr>
        <w:t xml:space="preserve"> 348 B.R. 81, 89 (Bankr. D. Conn. 2006)</w:t>
      </w:r>
      <w:r>
        <w:rPr>
          <w:rFonts w:cs="Arial"/>
          <w:bdr w:val="none" w:sz="0" w:space="0" w:color="auto" w:frame="1"/>
        </w:rPr>
        <w:t xml:space="preserve"> </w:t>
      </w:r>
      <w:r w:rsidRPr="00C27813">
        <w:rPr>
          <w:rFonts w:cs="Arial"/>
          <w:bdr w:val="none" w:sz="0" w:space="0" w:color="auto" w:frame="1"/>
        </w:rPr>
        <w:t xml:space="preserve">the </w:t>
      </w:r>
      <w:r>
        <w:rPr>
          <w:rFonts w:cs="Arial"/>
          <w:bdr w:val="none" w:sz="0" w:space="0" w:color="auto" w:frame="1"/>
        </w:rPr>
        <w:t>c</w:t>
      </w:r>
      <w:r w:rsidRPr="00C27813">
        <w:rPr>
          <w:rFonts w:cs="Arial"/>
          <w:bdr w:val="none" w:sz="0" w:space="0" w:color="auto" w:frame="1"/>
        </w:rPr>
        <w:t>ourt cites decisions from 1881 and 1917 to illustrate that this is well-settled law,</w:t>
      </w:r>
      <w:r w:rsidR="002F2146">
        <w:rPr>
          <w:rStyle w:val="FootnoteReference"/>
          <w:rFonts w:cs="Arial"/>
          <w:bdr w:val="none" w:sz="0" w:space="0" w:color="auto" w:frame="1"/>
        </w:rPr>
        <w:footnoteReference w:id="13"/>
      </w:r>
      <w:r w:rsidRPr="00C27813">
        <w:rPr>
          <w:rFonts w:cs="Arial"/>
          <w:bdr w:val="none" w:sz="0" w:space="0" w:color="auto" w:frame="1"/>
        </w:rPr>
        <w:t xml:space="preserve"> stating:</w:t>
      </w:r>
    </w:p>
    <w:p w14:paraId="17332594" w14:textId="77777777" w:rsidR="000031AC" w:rsidRPr="00C27813" w:rsidRDefault="000031AC" w:rsidP="000031AC">
      <w:pPr>
        <w:ind w:left="720" w:right="720"/>
        <w:jc w:val="both"/>
        <w:outlineLvl w:val="0"/>
        <w:rPr>
          <w:rStyle w:val="ssrfcpassagedeactivated"/>
          <w:rFonts w:eastAsiaTheme="majorEastAsia" w:cs="Arial"/>
          <w:color w:val="000000"/>
          <w:bdr w:val="none" w:sz="0" w:space="0" w:color="auto" w:frame="1"/>
        </w:rPr>
      </w:pPr>
      <w:r w:rsidRPr="00C27813">
        <w:rPr>
          <w:rStyle w:val="ssrfcpassagedeactivated"/>
          <w:rFonts w:eastAsiaTheme="majorEastAsia" w:cs="Arial"/>
          <w:color w:val="000000"/>
          <w:bdr w:val="none" w:sz="0" w:space="0" w:color="auto" w:frame="1"/>
        </w:rPr>
        <w:t>The </w:t>
      </w:r>
      <w:r w:rsidRPr="00C27813">
        <w:rPr>
          <w:rStyle w:val="sh1768352402"/>
          <w:rFonts w:cs="Arial"/>
          <w:i/>
          <w:iCs/>
          <w:color w:val="000000"/>
          <w:bdr w:val="none" w:sz="0" w:space="0" w:color="auto" w:frame="1"/>
        </w:rPr>
        <w:t>in pari del</w:t>
      </w:r>
      <w:r>
        <w:rPr>
          <w:rStyle w:val="sh1768352402"/>
          <w:rFonts w:cs="Arial"/>
          <w:i/>
          <w:iCs/>
          <w:color w:val="000000"/>
          <w:bdr w:val="none" w:sz="0" w:space="0" w:color="auto" w:frame="1"/>
        </w:rPr>
        <w:t>i</w:t>
      </w:r>
      <w:r w:rsidRPr="00C27813">
        <w:rPr>
          <w:rStyle w:val="sh1768352402"/>
          <w:rFonts w:cs="Arial"/>
          <w:i/>
          <w:iCs/>
          <w:color w:val="000000"/>
          <w:bdr w:val="none" w:sz="0" w:space="0" w:color="auto" w:frame="1"/>
        </w:rPr>
        <w:t>cto</w:t>
      </w:r>
      <w:r w:rsidRPr="00C27813">
        <w:rPr>
          <w:rStyle w:val="ssrfcpassagedeactivated"/>
          <w:rFonts w:eastAsiaTheme="majorEastAsia" w:cs="Arial"/>
          <w:color w:val="000000"/>
          <w:bdr w:val="none" w:sz="0" w:space="0" w:color="auto" w:frame="1"/>
        </w:rPr>
        <w:t> doctrine is a well-recognized defense under Connecticut law. The doctrine provides that actions brought on illegal or corrupt bargains cannot prevail if the parties are </w:t>
      </w:r>
      <w:r w:rsidRPr="00C27813">
        <w:rPr>
          <w:rStyle w:val="ssit"/>
          <w:rFonts w:cs="Arial"/>
          <w:i/>
          <w:iCs/>
          <w:color w:val="000000"/>
          <w:bdr w:val="none" w:sz="0" w:space="0" w:color="auto" w:frame="1"/>
        </w:rPr>
        <w:t>in pari delicto, i.e.</w:t>
      </w:r>
      <w:r w:rsidRPr="00C27813">
        <w:rPr>
          <w:rStyle w:val="ssrfcpassagedeactivated"/>
          <w:rFonts w:eastAsiaTheme="majorEastAsia" w:cs="Arial"/>
          <w:color w:val="000000"/>
          <w:bdr w:val="none" w:sz="0" w:space="0" w:color="auto" w:frame="1"/>
        </w:rPr>
        <w:t> where the plaintiff is a significant participant in the wrongdoing, bearing at least equal responsibility for the violations he seeks to redress. </w:t>
      </w:r>
      <w:r w:rsidRPr="00C27813">
        <w:rPr>
          <w:rStyle w:val="ssun"/>
          <w:rFonts w:cs="Arial"/>
          <w:color w:val="000000"/>
          <w:u w:val="single"/>
          <w:bdr w:val="none" w:sz="0" w:space="0" w:color="auto" w:frame="1"/>
        </w:rPr>
        <w:t>See, e.g., Greenberg v. Evening Post Association,</w:t>
      </w:r>
      <w:r w:rsidRPr="00C27813">
        <w:rPr>
          <w:rStyle w:val="ssrfcpassagedeactivated"/>
          <w:rFonts w:eastAsiaTheme="majorEastAsia" w:cs="Arial"/>
          <w:color w:val="000000"/>
          <w:bdr w:val="none" w:sz="0" w:space="0" w:color="auto" w:frame="1"/>
        </w:rPr>
        <w:t> 91 Conn. 371, 375, 99 A. 1037 (1917). </w:t>
      </w:r>
      <w:r w:rsidRPr="00C27813">
        <w:rPr>
          <w:rStyle w:val="ssrfcsection"/>
          <w:rFonts w:cs="Arial"/>
          <w:b/>
          <w:bCs/>
          <w:color w:val="000000"/>
          <w:bdr w:val="none" w:sz="0" w:space="0" w:color="auto" w:frame="1"/>
        </w:rPr>
        <w:t xml:space="preserve">"The real objection is not to one man's unclean hands but to </w:t>
      </w:r>
      <w:r w:rsidRPr="00C27813">
        <w:rPr>
          <w:rStyle w:val="ssrfcsection"/>
          <w:rFonts w:cs="Arial"/>
          <w:b/>
          <w:bCs/>
          <w:color w:val="000000"/>
          <w:u w:val="single"/>
          <w:bdr w:val="none" w:sz="0" w:space="0" w:color="auto" w:frame="1"/>
        </w:rPr>
        <w:t xml:space="preserve">the whole </w:t>
      </w:r>
      <w:r w:rsidRPr="00C27813">
        <w:rPr>
          <w:rStyle w:val="ssrfcsection"/>
          <w:rFonts w:cs="Arial"/>
          <w:b/>
          <w:bCs/>
          <w:color w:val="000000"/>
          <w:u w:val="single"/>
          <w:bdr w:val="none" w:sz="0" w:space="0" w:color="auto" w:frame="1"/>
        </w:rPr>
        <w:lastRenderedPageBreak/>
        <w:t>enterprise</w:t>
      </w:r>
      <w:r w:rsidRPr="00C27813">
        <w:rPr>
          <w:rStyle w:val="ssrfcsection"/>
          <w:rFonts w:cs="Arial"/>
          <w:b/>
          <w:bCs/>
          <w:color w:val="000000"/>
          <w:bdr w:val="none" w:sz="0" w:space="0" w:color="auto" w:frame="1"/>
        </w:rPr>
        <w:t>. The court does not want to touch an unlawful transaction with a ten-foot pole. It always refuses to help carry it out, and it often refuses to pick up the pieces after the enterprise has fallen apart. Courts were set up to enforce the law, not to enforce violations of law."</w:t>
      </w:r>
      <w:r w:rsidRPr="00C27813">
        <w:rPr>
          <w:rStyle w:val="ssrfcsection"/>
          <w:rFonts w:cs="Arial"/>
          <w:color w:val="000000"/>
          <w:bdr w:val="none" w:sz="0" w:space="0" w:color="auto" w:frame="1"/>
        </w:rPr>
        <w:t> </w:t>
      </w:r>
      <w:r w:rsidRPr="00C27813">
        <w:rPr>
          <w:rStyle w:val="ssun"/>
          <w:rFonts w:cs="Arial"/>
          <w:color w:val="000000"/>
          <w:u w:val="single"/>
          <w:bdr w:val="none" w:sz="0" w:space="0" w:color="auto" w:frame="1"/>
        </w:rPr>
        <w:t>Zappone v. Zappone,</w:t>
      </w:r>
      <w:r w:rsidRPr="00C27813">
        <w:rPr>
          <w:rStyle w:val="ssrfcsection"/>
          <w:rFonts w:cs="Arial"/>
          <w:color w:val="000000"/>
          <w:bdr w:val="none" w:sz="0" w:space="0" w:color="auto" w:frame="1"/>
        </w:rPr>
        <w:t> 1993 Conn. Super. LEXIS 597, 8 Conn. L. Rptr. 449, 1993 WL 73674, *5 (Conn. Super. 1993). </w:t>
      </w:r>
      <w:r w:rsidRPr="00C27813">
        <w:rPr>
          <w:rStyle w:val="ssrfcpassagedeactivated"/>
          <w:rFonts w:eastAsiaTheme="majorEastAsia" w:cs="Arial"/>
          <w:color w:val="000000"/>
          <w:bdr w:val="none" w:sz="0" w:space="0" w:color="auto" w:frame="1"/>
        </w:rPr>
        <w:t>When the parties are involved in an illegal transaction, the court will leave the parties where it finds them. </w:t>
      </w:r>
      <w:r w:rsidRPr="00C27813">
        <w:rPr>
          <w:rStyle w:val="ssun"/>
          <w:rFonts w:cs="Arial"/>
          <w:color w:val="000000"/>
          <w:u w:val="single"/>
          <w:bdr w:val="none" w:sz="0" w:space="0" w:color="auto" w:frame="1"/>
        </w:rPr>
        <w:t>Funk v. Gallivan,</w:t>
      </w:r>
      <w:r w:rsidRPr="00C27813">
        <w:rPr>
          <w:rStyle w:val="ssrfcpassagedeactivated"/>
          <w:rFonts w:eastAsiaTheme="majorEastAsia" w:cs="Arial"/>
          <w:color w:val="000000"/>
          <w:bdr w:val="none" w:sz="0" w:space="0" w:color="auto" w:frame="1"/>
        </w:rPr>
        <w:t> 49 Conn. 124 (1881). The following language of </w:t>
      </w:r>
      <w:r w:rsidRPr="00C27813">
        <w:rPr>
          <w:rStyle w:val="ssun"/>
          <w:rFonts w:cs="Arial"/>
          <w:color w:val="000000"/>
          <w:u w:val="single"/>
          <w:bdr w:val="none" w:sz="0" w:space="0" w:color="auto" w:frame="1"/>
        </w:rPr>
        <w:t>Funk</w:t>
      </w:r>
      <w:r w:rsidRPr="00C27813">
        <w:rPr>
          <w:rStyle w:val="ssrfcpassagedeactivated"/>
          <w:rFonts w:eastAsiaTheme="majorEastAsia" w:cs="Arial"/>
          <w:color w:val="000000"/>
          <w:bdr w:val="none" w:sz="0" w:space="0" w:color="auto" w:frame="1"/>
        </w:rPr>
        <w:t> is particularly apropos under the facts that necessarily underlie the Alter Ego Claim, if asserted under Code Section 541: "In such cases the defense of illegality prevails, not as a protection to the defendant, but as a disability in the plaintiff. Upon this principle[,] possession acquired … will often avail the parties holding it as a sufficient title … the transaction takes effect from the disability of the parties to assert any right to the contrary. The court does not give it effect, but simply refuses to aid to undo what the parties have already done." </w:t>
      </w:r>
      <w:r w:rsidRPr="00C27813">
        <w:rPr>
          <w:rStyle w:val="ssun"/>
          <w:rFonts w:cs="Arial"/>
          <w:color w:val="000000"/>
          <w:u w:val="single"/>
          <w:bdr w:val="none" w:sz="0" w:space="0" w:color="auto" w:frame="1"/>
        </w:rPr>
        <w:t>Id.,</w:t>
      </w:r>
      <w:r w:rsidRPr="00C27813">
        <w:rPr>
          <w:rStyle w:val="ssrfcpassagedeactivated"/>
          <w:rFonts w:eastAsiaTheme="majorEastAsia" w:cs="Arial"/>
          <w:color w:val="000000"/>
          <w:bdr w:val="none" w:sz="0" w:space="0" w:color="auto" w:frame="1"/>
        </w:rPr>
        <w:t> at 129.</w:t>
      </w:r>
      <w:r>
        <w:rPr>
          <w:rStyle w:val="ssrfcpassagedeactivated"/>
          <w:rFonts w:eastAsiaTheme="majorEastAsia" w:cs="Arial"/>
          <w:color w:val="000000"/>
          <w:bdr w:val="none" w:sz="0" w:space="0" w:color="auto" w:frame="1"/>
        </w:rPr>
        <w:t xml:space="preserve"> (Emphasis added.)</w:t>
      </w:r>
    </w:p>
    <w:p w14:paraId="20355085" w14:textId="77777777" w:rsidR="000031AC" w:rsidRPr="000A7D63" w:rsidRDefault="000031AC" w:rsidP="000031AC">
      <w:pPr>
        <w:ind w:left="720" w:right="720"/>
        <w:jc w:val="both"/>
        <w:outlineLvl w:val="0"/>
        <w:rPr>
          <w:rStyle w:val="ssrfcpassagedeactivated"/>
          <w:rFonts w:eastAsiaTheme="majorEastAsia" w:cs="Arial"/>
          <w:color w:val="000000"/>
          <w:sz w:val="16"/>
          <w:szCs w:val="16"/>
          <w:bdr w:val="none" w:sz="0" w:space="0" w:color="auto" w:frame="1"/>
        </w:rPr>
      </w:pPr>
    </w:p>
    <w:p w14:paraId="385EC92C" w14:textId="298E52F9" w:rsidR="000031AC" w:rsidRDefault="000031AC" w:rsidP="000031AC">
      <w:pPr>
        <w:spacing w:line="480" w:lineRule="auto"/>
        <w:jc w:val="both"/>
        <w:outlineLvl w:val="0"/>
        <w:rPr>
          <w:rStyle w:val="ssrfcpassagedeactivated"/>
          <w:rFonts w:eastAsiaTheme="majorEastAsia" w:cs="Arial"/>
          <w:color w:val="000000"/>
          <w:bdr w:val="none" w:sz="0" w:space="0" w:color="auto" w:frame="1"/>
        </w:rPr>
      </w:pPr>
      <w:r w:rsidRPr="00C27813">
        <w:rPr>
          <w:rStyle w:val="ssrfcpassagedeactivated"/>
          <w:rFonts w:eastAsiaTheme="majorEastAsia" w:cs="Arial"/>
          <w:color w:val="000000"/>
          <w:bdr w:val="none" w:sz="0" w:space="0" w:color="auto" w:frame="1"/>
        </w:rPr>
        <w:t xml:space="preserve">This </w:t>
      </w:r>
      <w:r w:rsidR="006D7753">
        <w:rPr>
          <w:rStyle w:val="ssrfcpassagedeactivated"/>
          <w:rFonts w:eastAsiaTheme="majorEastAsia" w:cs="Arial"/>
          <w:color w:val="000000"/>
          <w:bdr w:val="none" w:sz="0" w:space="0" w:color="auto" w:frame="1"/>
        </w:rPr>
        <w:t>holding</w:t>
      </w:r>
      <w:r w:rsidRPr="00C27813">
        <w:rPr>
          <w:rStyle w:val="ssrfcpassagedeactivated"/>
          <w:rFonts w:eastAsiaTheme="majorEastAsia" w:cs="Arial"/>
          <w:color w:val="000000"/>
          <w:bdr w:val="none" w:sz="0" w:space="0" w:color="auto" w:frame="1"/>
        </w:rPr>
        <w:t xml:space="preserve"> captures the </w:t>
      </w:r>
      <w:r w:rsidR="00F579FD">
        <w:rPr>
          <w:rStyle w:val="ssrfcpassagedeactivated"/>
          <w:rFonts w:eastAsiaTheme="majorEastAsia" w:cs="Arial"/>
          <w:color w:val="000000"/>
          <w:bdr w:val="none" w:sz="0" w:space="0" w:color="auto" w:frame="1"/>
        </w:rPr>
        <w:t>essence</w:t>
      </w:r>
      <w:r w:rsidRPr="00C27813">
        <w:rPr>
          <w:rStyle w:val="ssrfcpassagedeactivated"/>
          <w:rFonts w:eastAsiaTheme="majorEastAsia" w:cs="Arial"/>
          <w:color w:val="000000"/>
          <w:bdr w:val="none" w:sz="0" w:space="0" w:color="auto" w:frame="1"/>
        </w:rPr>
        <w:t xml:space="preserve"> of the doctrine</w:t>
      </w:r>
      <w:r>
        <w:rPr>
          <w:rStyle w:val="ssrfcpassagedeactivated"/>
          <w:rFonts w:eastAsiaTheme="majorEastAsia" w:cs="Arial"/>
          <w:color w:val="000000"/>
          <w:bdr w:val="none" w:sz="0" w:space="0" w:color="auto" w:frame="1"/>
        </w:rPr>
        <w:t xml:space="preserve"> seen in all of the decisions</w:t>
      </w:r>
      <w:r w:rsidRPr="00E50C3E">
        <w:rPr>
          <w:rStyle w:val="ssrfcpassagedeactivated"/>
          <w:rFonts w:eastAsiaTheme="majorEastAsia" w:cs="Arial"/>
          <w:color w:val="000000"/>
          <w:bdr w:val="none" w:sz="0" w:space="0" w:color="auto" w:frame="1"/>
        </w:rPr>
        <w:t xml:space="preserve">, that this </w:t>
      </w:r>
      <w:r w:rsidR="00561A82" w:rsidRPr="00E50C3E">
        <w:rPr>
          <w:rStyle w:val="ssrfcpassagedeactivated"/>
          <w:rFonts w:eastAsiaTheme="majorEastAsia" w:cs="Arial"/>
          <w:color w:val="000000"/>
          <w:bdr w:val="none" w:sz="0" w:space="0" w:color="auto" w:frame="1"/>
        </w:rPr>
        <w:t>doctrine</w:t>
      </w:r>
      <w:r w:rsidRPr="00E50C3E">
        <w:rPr>
          <w:rStyle w:val="ssrfcpassagedeactivated"/>
          <w:rFonts w:eastAsiaTheme="majorEastAsia" w:cs="Arial"/>
          <w:color w:val="000000"/>
          <w:bdr w:val="none" w:sz="0" w:space="0" w:color="auto" w:frame="1"/>
        </w:rPr>
        <w:t xml:space="preserve"> is not applicable where one party does wrong,</w:t>
      </w:r>
      <w:r w:rsidRPr="00C27813">
        <w:rPr>
          <w:rStyle w:val="ssrfcpassagedeactivated"/>
          <w:rFonts w:eastAsiaTheme="majorEastAsia" w:cs="Arial"/>
          <w:color w:val="000000"/>
          <w:bdr w:val="none" w:sz="0" w:space="0" w:color="auto" w:frame="1"/>
        </w:rPr>
        <w:t xml:space="preserve"> as that is </w:t>
      </w:r>
      <w:r>
        <w:rPr>
          <w:rStyle w:val="ssrfcpassagedeactivated"/>
          <w:rFonts w:eastAsiaTheme="majorEastAsia" w:cs="Arial"/>
          <w:color w:val="000000"/>
          <w:bdr w:val="none" w:sz="0" w:space="0" w:color="auto" w:frame="1"/>
        </w:rPr>
        <w:t>frequently</w:t>
      </w:r>
      <w:r w:rsidRPr="00C27813">
        <w:rPr>
          <w:rStyle w:val="ssrfcpassagedeactivated"/>
          <w:rFonts w:eastAsiaTheme="majorEastAsia" w:cs="Arial"/>
          <w:color w:val="000000"/>
          <w:bdr w:val="none" w:sz="0" w:space="0" w:color="auto" w:frame="1"/>
        </w:rPr>
        <w:t xml:space="preserve"> the case in litigation—but rather </w:t>
      </w:r>
      <w:r w:rsidRPr="00482F63">
        <w:rPr>
          <w:rStyle w:val="ssrfcpassagedeactivated"/>
          <w:rFonts w:eastAsiaTheme="majorEastAsia" w:cs="Arial"/>
          <w:b/>
          <w:bCs/>
          <w:color w:val="000000"/>
          <w:bdr w:val="none" w:sz="0" w:space="0" w:color="auto" w:frame="1"/>
        </w:rPr>
        <w:t xml:space="preserve">where the essential nature of the “enterprise” at issue involves </w:t>
      </w:r>
      <w:r>
        <w:rPr>
          <w:rStyle w:val="ssrfcpassagedeactivated"/>
          <w:rFonts w:eastAsiaTheme="majorEastAsia" w:cs="Arial"/>
          <w:b/>
          <w:bCs/>
          <w:color w:val="000000"/>
          <w:bdr w:val="none" w:sz="0" w:space="0" w:color="auto" w:frame="1"/>
        </w:rPr>
        <w:t xml:space="preserve">all of the </w:t>
      </w:r>
      <w:r w:rsidRPr="00482F63">
        <w:rPr>
          <w:rStyle w:val="ssrfcpassagedeactivated"/>
          <w:rFonts w:eastAsiaTheme="majorEastAsia" w:cs="Arial"/>
          <w:b/>
          <w:bCs/>
          <w:color w:val="000000"/>
          <w:bdr w:val="none" w:sz="0" w:space="0" w:color="auto" w:frame="1"/>
        </w:rPr>
        <w:t xml:space="preserve">participants in </w:t>
      </w:r>
      <w:r w:rsidRPr="00482F63">
        <w:rPr>
          <w:rStyle w:val="ssrfcpassagedeactivated"/>
          <w:rFonts w:eastAsiaTheme="majorEastAsia" w:cs="Arial"/>
          <w:b/>
          <w:bCs/>
          <w:i/>
          <w:iCs/>
          <w:color w:val="000000"/>
          <w:u w:val="single"/>
          <w:bdr w:val="none" w:sz="0" w:space="0" w:color="auto" w:frame="1"/>
        </w:rPr>
        <w:t>mutually</w:t>
      </w:r>
      <w:r w:rsidRPr="00482F63">
        <w:rPr>
          <w:rStyle w:val="ssrfcpassagedeactivated"/>
          <w:rFonts w:eastAsiaTheme="majorEastAsia" w:cs="Arial"/>
          <w:b/>
          <w:bCs/>
          <w:color w:val="000000"/>
          <w:bdr w:val="none" w:sz="0" w:space="0" w:color="auto" w:frame="1"/>
        </w:rPr>
        <w:t xml:space="preserve"> corrupt </w:t>
      </w:r>
      <w:r>
        <w:rPr>
          <w:rStyle w:val="ssrfcpassagedeactivated"/>
          <w:rFonts w:eastAsiaTheme="majorEastAsia" w:cs="Arial"/>
          <w:b/>
          <w:bCs/>
          <w:color w:val="000000"/>
          <w:bdr w:val="none" w:sz="0" w:space="0" w:color="auto" w:frame="1"/>
        </w:rPr>
        <w:t>undertaking</w:t>
      </w:r>
      <w:r w:rsidR="00F579FD">
        <w:rPr>
          <w:rStyle w:val="ssrfcpassagedeactivated"/>
          <w:rFonts w:eastAsiaTheme="majorEastAsia" w:cs="Arial"/>
          <w:b/>
          <w:bCs/>
          <w:color w:val="000000"/>
          <w:bdr w:val="none" w:sz="0" w:space="0" w:color="auto" w:frame="1"/>
        </w:rPr>
        <w:t>s</w:t>
      </w:r>
      <w:r>
        <w:rPr>
          <w:rStyle w:val="ssrfcpassagedeactivated"/>
          <w:rFonts w:eastAsiaTheme="majorEastAsia" w:cs="Arial"/>
          <w:color w:val="000000"/>
          <w:bdr w:val="none" w:sz="0" w:space="0" w:color="auto" w:frame="1"/>
        </w:rPr>
        <w:t>.</w:t>
      </w:r>
      <w:r w:rsidRPr="00C27813">
        <w:rPr>
          <w:rStyle w:val="FootnoteReference"/>
          <w:rFonts w:cs="Arial"/>
          <w:color w:val="000000"/>
          <w:bdr w:val="none" w:sz="0" w:space="0" w:color="auto" w:frame="1"/>
        </w:rPr>
        <w:footnoteReference w:id="14"/>
      </w:r>
      <w:r w:rsidR="003065FE">
        <w:rPr>
          <w:rStyle w:val="ssrfcpassagedeactivated"/>
          <w:rFonts w:eastAsiaTheme="majorEastAsia" w:cs="Arial"/>
          <w:color w:val="000000"/>
          <w:bdr w:val="none" w:sz="0" w:space="0" w:color="auto" w:frame="1"/>
        </w:rPr>
        <w:t xml:space="preserve"> </w:t>
      </w:r>
      <w:bookmarkStart w:id="1" w:name="_Hlk122645347"/>
      <w:r w:rsidRPr="00C27813">
        <w:rPr>
          <w:rStyle w:val="ssrfcpassagedeactivated"/>
          <w:rFonts w:eastAsiaTheme="majorEastAsia" w:cs="Arial"/>
          <w:color w:val="000000"/>
          <w:bdr w:val="none" w:sz="0" w:space="0" w:color="auto" w:frame="1"/>
        </w:rPr>
        <w:t xml:space="preserve">It would be hard to think of a situation more ripe for this </w:t>
      </w:r>
      <w:r>
        <w:rPr>
          <w:rStyle w:val="ssrfcpassagedeactivated"/>
          <w:rFonts w:eastAsiaTheme="majorEastAsia" w:cs="Arial"/>
          <w:color w:val="000000"/>
          <w:bdr w:val="none" w:sz="0" w:space="0" w:color="auto" w:frame="1"/>
        </w:rPr>
        <w:t xml:space="preserve">doctrine </w:t>
      </w:r>
      <w:r w:rsidRPr="00C27813">
        <w:rPr>
          <w:rStyle w:val="ssrfcpassagedeactivated"/>
          <w:rFonts w:eastAsiaTheme="majorEastAsia" w:cs="Arial"/>
          <w:color w:val="000000"/>
          <w:bdr w:val="none" w:sz="0" w:space="0" w:color="auto" w:frame="1"/>
        </w:rPr>
        <w:t xml:space="preserve">than the </w:t>
      </w:r>
      <w:r w:rsidR="00561A82">
        <w:rPr>
          <w:rStyle w:val="ssrfcpassagedeactivated"/>
          <w:rFonts w:eastAsiaTheme="majorEastAsia" w:cs="Arial"/>
          <w:color w:val="000000"/>
          <w:bdr w:val="none" w:sz="0" w:space="0" w:color="auto" w:frame="1"/>
        </w:rPr>
        <w:t>combination of this case and the companion foreclosure</w:t>
      </w:r>
      <w:r w:rsidR="00B95972">
        <w:rPr>
          <w:rStyle w:val="ssrfcpassagedeactivated"/>
          <w:rFonts w:eastAsiaTheme="majorEastAsia" w:cs="Arial"/>
          <w:color w:val="000000"/>
          <w:bdr w:val="none" w:sz="0" w:space="0" w:color="auto" w:frame="1"/>
        </w:rPr>
        <w:t xml:space="preserve">. </w:t>
      </w:r>
      <w:r w:rsidRPr="00C27813">
        <w:rPr>
          <w:rStyle w:val="ssrfcpassagedeactivated"/>
          <w:rFonts w:eastAsiaTheme="majorEastAsia" w:cs="Arial"/>
          <w:color w:val="000000"/>
          <w:bdr w:val="none" w:sz="0" w:space="0" w:color="auto" w:frame="1"/>
        </w:rPr>
        <w:t>Two close families are involved</w:t>
      </w:r>
      <w:r>
        <w:rPr>
          <w:rStyle w:val="ssrfcpassagedeactivated"/>
          <w:rFonts w:eastAsiaTheme="majorEastAsia" w:cs="Arial"/>
          <w:color w:val="000000"/>
          <w:bdr w:val="none" w:sz="0" w:space="0" w:color="auto" w:frame="1"/>
        </w:rPr>
        <w:t>—</w:t>
      </w:r>
      <w:r w:rsidRPr="00C27813">
        <w:rPr>
          <w:rStyle w:val="ssrfcpassagedeactivated"/>
          <w:rFonts w:eastAsiaTheme="majorEastAsia" w:cs="Arial"/>
          <w:color w:val="000000"/>
          <w:bdr w:val="none" w:sz="0" w:space="0" w:color="auto" w:frame="1"/>
        </w:rPr>
        <w:t xml:space="preserve">parents and children, immediate </w:t>
      </w:r>
      <w:r w:rsidR="00814B49" w:rsidRPr="00C27813">
        <w:rPr>
          <w:rStyle w:val="ssrfcpassagedeactivated"/>
          <w:rFonts w:eastAsiaTheme="majorEastAsia" w:cs="Arial"/>
          <w:color w:val="000000"/>
          <w:bdr w:val="none" w:sz="0" w:space="0" w:color="auto" w:frame="1"/>
        </w:rPr>
        <w:t>families,</w:t>
      </w:r>
      <w:r w:rsidRPr="00C27813">
        <w:rPr>
          <w:rStyle w:val="ssrfcpassagedeactivated"/>
          <w:rFonts w:eastAsiaTheme="majorEastAsia" w:cs="Arial"/>
          <w:color w:val="000000"/>
          <w:bdr w:val="none" w:sz="0" w:space="0" w:color="auto" w:frame="1"/>
        </w:rPr>
        <w:t xml:space="preserve"> and </w:t>
      </w:r>
      <w:r>
        <w:rPr>
          <w:rStyle w:val="ssrfcpassagedeactivated"/>
          <w:rFonts w:eastAsiaTheme="majorEastAsia" w:cs="Arial"/>
          <w:color w:val="000000"/>
          <w:bdr w:val="none" w:sz="0" w:space="0" w:color="auto" w:frame="1"/>
        </w:rPr>
        <w:t>second</w:t>
      </w:r>
      <w:r w:rsidRPr="00C27813">
        <w:rPr>
          <w:rStyle w:val="ssrfcpassagedeactivated"/>
          <w:rFonts w:eastAsiaTheme="majorEastAsia" w:cs="Arial"/>
          <w:color w:val="000000"/>
          <w:bdr w:val="none" w:sz="0" w:space="0" w:color="auto" w:frame="1"/>
        </w:rPr>
        <w:t>-degree relative</w:t>
      </w:r>
      <w:r>
        <w:rPr>
          <w:rStyle w:val="ssrfcpassagedeactivated"/>
          <w:rFonts w:eastAsiaTheme="majorEastAsia" w:cs="Arial"/>
          <w:color w:val="000000"/>
          <w:bdr w:val="none" w:sz="0" w:space="0" w:color="auto" w:frame="1"/>
        </w:rPr>
        <w:t>s—</w:t>
      </w:r>
      <w:r w:rsidRPr="00C27813">
        <w:rPr>
          <w:rStyle w:val="ssrfcpassagedeactivated"/>
          <w:rFonts w:eastAsiaTheme="majorEastAsia" w:cs="Arial"/>
          <w:color w:val="000000"/>
          <w:bdr w:val="none" w:sz="0" w:space="0" w:color="auto" w:frame="1"/>
        </w:rPr>
        <w:t>in a</w:t>
      </w:r>
      <w:r>
        <w:rPr>
          <w:rStyle w:val="ssrfcpassagedeactivated"/>
          <w:rFonts w:eastAsiaTheme="majorEastAsia" w:cs="Arial"/>
          <w:color w:val="000000"/>
          <w:bdr w:val="none" w:sz="0" w:space="0" w:color="auto" w:frame="1"/>
        </w:rPr>
        <w:t xml:space="preserve"> large-scale</w:t>
      </w:r>
      <w:r w:rsidRPr="00C27813">
        <w:rPr>
          <w:rStyle w:val="ssrfcpassagedeactivated"/>
          <w:rFonts w:eastAsiaTheme="majorEastAsia" w:cs="Arial"/>
          <w:color w:val="000000"/>
          <w:bdr w:val="none" w:sz="0" w:space="0" w:color="auto" w:frame="1"/>
        </w:rPr>
        <w:t xml:space="preserve"> operation to evade taxes and </w:t>
      </w:r>
      <w:r>
        <w:rPr>
          <w:rStyle w:val="ssrfcpassagedeactivated"/>
          <w:rFonts w:eastAsiaTheme="majorEastAsia" w:cs="Arial"/>
          <w:color w:val="000000"/>
          <w:bdr w:val="none" w:sz="0" w:space="0" w:color="auto" w:frame="1"/>
        </w:rPr>
        <w:t>launder</w:t>
      </w:r>
      <w:r w:rsidRPr="00C27813">
        <w:rPr>
          <w:rStyle w:val="ssrfcpassagedeactivated"/>
          <w:rFonts w:eastAsiaTheme="majorEastAsia" w:cs="Arial"/>
          <w:color w:val="000000"/>
          <w:bdr w:val="none" w:sz="0" w:space="0" w:color="auto" w:frame="1"/>
        </w:rPr>
        <w:t xml:space="preserve"> funds. </w:t>
      </w:r>
      <w:r>
        <w:rPr>
          <w:rStyle w:val="ssrfcpassagedeactivated"/>
          <w:rFonts w:eastAsiaTheme="majorEastAsia" w:cs="Arial"/>
          <w:color w:val="000000"/>
          <w:bdr w:val="none" w:sz="0" w:space="0" w:color="auto" w:frame="1"/>
        </w:rPr>
        <w:t>The families are 50/50 owners of the vehicle</w:t>
      </w:r>
      <w:r w:rsidR="00F579FD">
        <w:rPr>
          <w:rStyle w:val="ssrfcpassagedeactivated"/>
          <w:rFonts w:eastAsiaTheme="majorEastAsia" w:cs="Arial"/>
          <w:color w:val="000000"/>
          <w:bdr w:val="none" w:sz="0" w:space="0" w:color="auto" w:frame="1"/>
        </w:rPr>
        <w:t xml:space="preserve"> used</w:t>
      </w:r>
      <w:r>
        <w:rPr>
          <w:rStyle w:val="ssrfcpassagedeactivated"/>
          <w:rFonts w:eastAsiaTheme="majorEastAsia" w:cs="Arial"/>
          <w:color w:val="000000"/>
          <w:bdr w:val="none" w:sz="0" w:space="0" w:color="auto" w:frame="1"/>
        </w:rPr>
        <w:t xml:space="preserve">, Sixteen Plus, and the putative mortgage holder is a niece whose affairs are totally run by the nephew in charge of the STM portion of the operation. </w:t>
      </w:r>
      <w:r w:rsidR="00F579FD">
        <w:rPr>
          <w:rStyle w:val="ssrfcpassagedeactivated"/>
          <w:rFonts w:eastAsiaTheme="majorEastAsia" w:cs="Arial"/>
          <w:color w:val="000000"/>
          <w:bdr w:val="none" w:sz="0" w:space="0" w:color="auto" w:frame="1"/>
        </w:rPr>
        <w:t>This is a</w:t>
      </w:r>
      <w:r>
        <w:rPr>
          <w:rStyle w:val="ssrfcpassagedeactivated"/>
          <w:rFonts w:eastAsiaTheme="majorEastAsia" w:cs="Arial"/>
          <w:color w:val="000000"/>
          <w:bdr w:val="none" w:sz="0" w:space="0" w:color="auto" w:frame="1"/>
        </w:rPr>
        <w:t xml:space="preserve"> nephew who was indicted, whose accounts saw $8 million per day moving through the same accounts involved in the Sixteen Plus transfer—and to whose address the statements for all </w:t>
      </w:r>
      <w:r w:rsidR="00F72A05">
        <w:rPr>
          <w:rStyle w:val="ssrfcpassagedeactivated"/>
          <w:rFonts w:eastAsiaTheme="majorEastAsia" w:cs="Arial"/>
          <w:color w:val="000000"/>
          <w:bdr w:val="none" w:sz="0" w:space="0" w:color="auto" w:frame="1"/>
        </w:rPr>
        <w:t>five</w:t>
      </w:r>
      <w:r>
        <w:rPr>
          <w:rStyle w:val="ssrfcpassagedeactivated"/>
          <w:rFonts w:eastAsiaTheme="majorEastAsia" w:cs="Arial"/>
          <w:color w:val="000000"/>
          <w:bdr w:val="none" w:sz="0" w:space="0" w:color="auto" w:frame="1"/>
        </w:rPr>
        <w:t xml:space="preserve"> of the STM laundering accounts were sent.</w:t>
      </w:r>
    </w:p>
    <w:p w14:paraId="27586212" w14:textId="31042B74" w:rsidR="000031AC" w:rsidRPr="00C27813" w:rsidRDefault="000031AC" w:rsidP="000031AC">
      <w:pPr>
        <w:spacing w:line="480" w:lineRule="auto"/>
        <w:ind w:firstLine="720"/>
        <w:jc w:val="both"/>
        <w:outlineLvl w:val="0"/>
        <w:rPr>
          <w:rStyle w:val="ssrfcpassagedeactivated"/>
          <w:rFonts w:eastAsiaTheme="majorEastAsia" w:cs="Arial"/>
          <w:color w:val="000000"/>
          <w:bdr w:val="none" w:sz="0" w:space="0" w:color="auto" w:frame="1"/>
        </w:rPr>
      </w:pPr>
      <w:r>
        <w:rPr>
          <w:rStyle w:val="ssrfcpassagedeactivated"/>
          <w:rFonts w:eastAsiaTheme="majorEastAsia" w:cs="Arial"/>
          <w:color w:val="000000"/>
          <w:bdr w:val="none" w:sz="0" w:space="0" w:color="auto" w:frame="1"/>
        </w:rPr>
        <w:lastRenderedPageBreak/>
        <w:t xml:space="preserve">Moreover, </w:t>
      </w:r>
      <w:r w:rsidRPr="001B6F51">
        <w:rPr>
          <w:rStyle w:val="ssrfcpassagedeactivated"/>
          <w:rFonts w:eastAsiaTheme="majorEastAsia" w:cs="Arial"/>
          <w:i/>
          <w:iCs/>
          <w:color w:val="000000"/>
          <w:u w:val="single"/>
          <w:bdr w:val="none" w:sz="0" w:space="0" w:color="auto" w:frame="1"/>
        </w:rPr>
        <w:t>t</w:t>
      </w:r>
      <w:r w:rsidRPr="00C27813">
        <w:rPr>
          <w:rStyle w:val="ssrfcpassagedeactivated"/>
          <w:rFonts w:eastAsiaTheme="majorEastAsia" w:cs="Arial"/>
          <w:i/>
          <w:iCs/>
          <w:color w:val="000000"/>
          <w:u w:val="single"/>
          <w:bdr w:val="none" w:sz="0" w:space="0" w:color="auto" w:frame="1"/>
        </w:rPr>
        <w:t xml:space="preserve">he application of the doctrine </w:t>
      </w:r>
      <w:r>
        <w:rPr>
          <w:rStyle w:val="ssrfcpassagedeactivated"/>
          <w:rFonts w:eastAsiaTheme="majorEastAsia" w:cs="Arial"/>
          <w:i/>
          <w:iCs/>
          <w:color w:val="000000"/>
          <w:u w:val="single"/>
          <w:bdr w:val="none" w:sz="0" w:space="0" w:color="auto" w:frame="1"/>
        </w:rPr>
        <w:t xml:space="preserve">here would </w:t>
      </w:r>
      <w:r w:rsidRPr="00C27813">
        <w:rPr>
          <w:rStyle w:val="ssrfcpassagedeactivated"/>
          <w:rFonts w:eastAsiaTheme="majorEastAsia" w:cs="Arial"/>
          <w:i/>
          <w:iCs/>
          <w:color w:val="000000"/>
          <w:u w:val="single"/>
          <w:bdr w:val="none" w:sz="0" w:space="0" w:color="auto" w:frame="1"/>
        </w:rPr>
        <w:t>not reward or favor either</w:t>
      </w:r>
      <w:r>
        <w:rPr>
          <w:rStyle w:val="ssrfcpassagedeactivated"/>
          <w:rFonts w:eastAsiaTheme="majorEastAsia" w:cs="Arial"/>
          <w:i/>
          <w:iCs/>
          <w:color w:val="000000"/>
          <w:u w:val="single"/>
          <w:bdr w:val="none" w:sz="0" w:space="0" w:color="auto" w:frame="1"/>
        </w:rPr>
        <w:t xml:space="preserve"> side</w:t>
      </w:r>
      <w:r w:rsidRPr="00C27813">
        <w:rPr>
          <w:rStyle w:val="ssrfcpassagedeactivated"/>
          <w:rFonts w:eastAsiaTheme="majorEastAsia" w:cs="Arial"/>
          <w:color w:val="000000"/>
          <w:bdr w:val="none" w:sz="0" w:space="0" w:color="auto" w:frame="1"/>
        </w:rPr>
        <w:t>.</w:t>
      </w:r>
      <w:r w:rsidRPr="00C27813">
        <w:rPr>
          <w:rStyle w:val="FootnoteReference"/>
          <w:rFonts w:cs="Arial"/>
          <w:color w:val="000000"/>
          <w:bdr w:val="none" w:sz="0" w:space="0" w:color="auto" w:frame="1"/>
        </w:rPr>
        <w:footnoteReference w:id="15"/>
      </w:r>
      <w:r w:rsidRPr="00C27813">
        <w:rPr>
          <w:rStyle w:val="ssrfcpassagedeactivated"/>
          <w:rFonts w:eastAsiaTheme="majorEastAsia" w:cs="Arial"/>
          <w:color w:val="000000"/>
          <w:bdr w:val="none" w:sz="0" w:space="0" w:color="auto" w:frame="1"/>
        </w:rPr>
        <w:t xml:space="preserve"> The refusal of th</w:t>
      </w:r>
      <w:r>
        <w:rPr>
          <w:rStyle w:val="ssrfcpassagedeactivated"/>
          <w:rFonts w:eastAsiaTheme="majorEastAsia" w:cs="Arial"/>
          <w:color w:val="000000"/>
          <w:bdr w:val="none" w:sz="0" w:space="0" w:color="auto" w:frame="1"/>
        </w:rPr>
        <w:t>is</w:t>
      </w:r>
      <w:r w:rsidRPr="00C27813">
        <w:rPr>
          <w:rStyle w:val="ssrfcpassagedeactivated"/>
          <w:rFonts w:eastAsiaTheme="majorEastAsia" w:cs="Arial"/>
          <w:color w:val="000000"/>
          <w:bdr w:val="none" w:sz="0" w:space="0" w:color="auto" w:frame="1"/>
        </w:rPr>
        <w:t xml:space="preserve"> Court to participate </w:t>
      </w:r>
      <w:r>
        <w:rPr>
          <w:rStyle w:val="ssrfcpassagedeactivated"/>
          <w:rFonts w:eastAsiaTheme="majorEastAsia" w:cs="Arial"/>
          <w:color w:val="000000"/>
          <w:bdr w:val="none" w:sz="0" w:space="0" w:color="auto" w:frame="1"/>
        </w:rPr>
        <w:t>would</w:t>
      </w:r>
      <w:r w:rsidRPr="00C27813">
        <w:rPr>
          <w:rStyle w:val="ssrfcpassagedeactivated"/>
          <w:rFonts w:eastAsiaTheme="majorEastAsia" w:cs="Arial"/>
          <w:color w:val="000000"/>
          <w:bdr w:val="none" w:sz="0" w:space="0" w:color="auto" w:frame="1"/>
        </w:rPr>
        <w:t xml:space="preserve"> not end up with one or the other </w:t>
      </w:r>
      <w:r>
        <w:rPr>
          <w:rStyle w:val="ssrfcpassagedeactivated"/>
          <w:rFonts w:eastAsiaTheme="majorEastAsia" w:cs="Arial"/>
          <w:color w:val="000000"/>
          <w:bdr w:val="none" w:sz="0" w:space="0" w:color="auto" w:frame="1"/>
        </w:rPr>
        <w:t xml:space="preserve">of the families </w:t>
      </w:r>
      <w:r w:rsidRPr="00C27813">
        <w:rPr>
          <w:rStyle w:val="ssrfcpassagedeactivated"/>
          <w:rFonts w:eastAsiaTheme="majorEastAsia" w:cs="Arial"/>
          <w:color w:val="000000"/>
          <w:bdr w:val="none" w:sz="0" w:space="0" w:color="auto" w:frame="1"/>
        </w:rPr>
        <w:t xml:space="preserve">in control of the land—it </w:t>
      </w:r>
      <w:r>
        <w:rPr>
          <w:rStyle w:val="ssrfcpassagedeactivated"/>
          <w:rFonts w:eastAsiaTheme="majorEastAsia" w:cs="Arial"/>
          <w:color w:val="000000"/>
          <w:bdr w:val="none" w:sz="0" w:space="0" w:color="auto" w:frame="1"/>
        </w:rPr>
        <w:t>would</w:t>
      </w:r>
      <w:r w:rsidRPr="00C27813">
        <w:rPr>
          <w:rStyle w:val="ssrfcpassagedeactivated"/>
          <w:rFonts w:eastAsiaTheme="majorEastAsia" w:cs="Arial"/>
          <w:color w:val="000000"/>
          <w:bdr w:val="none" w:sz="0" w:space="0" w:color="auto" w:frame="1"/>
        </w:rPr>
        <w:t xml:space="preserve"> leave them in a deadlock—with the property</w:t>
      </w:r>
      <w:r>
        <w:rPr>
          <w:rStyle w:val="ssrfcpassagedeactivated"/>
          <w:rFonts w:eastAsiaTheme="majorEastAsia" w:cs="Arial"/>
          <w:color w:val="000000"/>
          <w:bdr w:val="none" w:sz="0" w:space="0" w:color="auto" w:frame="1"/>
        </w:rPr>
        <w:t xml:space="preserve"> still</w:t>
      </w:r>
      <w:r w:rsidRPr="00C27813">
        <w:rPr>
          <w:rStyle w:val="ssrfcpassagedeactivated"/>
          <w:rFonts w:eastAsiaTheme="majorEastAsia" w:cs="Arial"/>
          <w:color w:val="000000"/>
          <w:bdr w:val="none" w:sz="0" w:space="0" w:color="auto" w:frame="1"/>
        </w:rPr>
        <w:t xml:space="preserve"> subject to</w:t>
      </w:r>
      <w:r>
        <w:rPr>
          <w:rStyle w:val="ssrfcpassagedeactivated"/>
          <w:rFonts w:eastAsiaTheme="majorEastAsia" w:cs="Arial"/>
          <w:color w:val="000000"/>
          <w:bdr w:val="none" w:sz="0" w:space="0" w:color="auto" w:frame="1"/>
        </w:rPr>
        <w:t xml:space="preserve"> Manal’s</w:t>
      </w:r>
      <w:r w:rsidRPr="00C27813">
        <w:rPr>
          <w:rStyle w:val="ssrfcpassagedeactivated"/>
          <w:rFonts w:eastAsiaTheme="majorEastAsia" w:cs="Arial"/>
          <w:color w:val="000000"/>
          <w:bdr w:val="none" w:sz="0" w:space="0" w:color="auto" w:frame="1"/>
        </w:rPr>
        <w:t xml:space="preserve"> mortgage, but </w:t>
      </w:r>
      <w:r>
        <w:rPr>
          <w:rStyle w:val="ssrfcpassagedeactivated"/>
          <w:rFonts w:eastAsiaTheme="majorEastAsia" w:cs="Arial"/>
          <w:color w:val="000000"/>
          <w:bdr w:val="none" w:sz="0" w:space="0" w:color="auto" w:frame="1"/>
        </w:rPr>
        <w:t xml:space="preserve">with </w:t>
      </w:r>
      <w:r w:rsidRPr="00C27813">
        <w:rPr>
          <w:rStyle w:val="ssrfcpassagedeactivated"/>
          <w:rFonts w:eastAsiaTheme="majorEastAsia" w:cs="Arial"/>
          <w:color w:val="000000"/>
          <w:bdr w:val="none" w:sz="0" w:space="0" w:color="auto" w:frame="1"/>
        </w:rPr>
        <w:t xml:space="preserve">no way to </w:t>
      </w:r>
      <w:r>
        <w:rPr>
          <w:rStyle w:val="ssrfcpassagedeactivated"/>
          <w:rFonts w:eastAsiaTheme="majorEastAsia" w:cs="Arial"/>
          <w:color w:val="000000"/>
          <w:bdr w:val="none" w:sz="0" w:space="0" w:color="auto" w:frame="1"/>
        </w:rPr>
        <w:t>resolve the situation</w:t>
      </w:r>
      <w:r w:rsidRPr="00C27813">
        <w:rPr>
          <w:rStyle w:val="ssrfcpassagedeactivated"/>
          <w:rFonts w:eastAsiaTheme="majorEastAsia" w:cs="Arial"/>
          <w:color w:val="000000"/>
          <w:bdr w:val="none" w:sz="0" w:space="0" w:color="auto" w:frame="1"/>
        </w:rPr>
        <w:t xml:space="preserve"> without </w:t>
      </w:r>
      <w:r w:rsidRPr="00F579FD">
        <w:rPr>
          <w:rStyle w:val="ssrfcpassagedeactivated"/>
          <w:rFonts w:eastAsiaTheme="majorEastAsia" w:cs="Arial"/>
          <w:i/>
          <w:iCs/>
          <w:color w:val="000000"/>
          <w:bdr w:val="none" w:sz="0" w:space="0" w:color="auto" w:frame="1"/>
        </w:rPr>
        <w:t>mutual</w:t>
      </w:r>
      <w:r w:rsidRPr="00C27813">
        <w:rPr>
          <w:rStyle w:val="ssrfcpassagedeactivated"/>
          <w:rFonts w:eastAsiaTheme="majorEastAsia" w:cs="Arial"/>
          <w:color w:val="000000"/>
          <w:bdr w:val="none" w:sz="0" w:space="0" w:color="auto" w:frame="1"/>
        </w:rPr>
        <w:t xml:space="preserve"> agreement.</w:t>
      </w:r>
      <w:r w:rsidR="003065FE">
        <w:rPr>
          <w:rStyle w:val="ssrfcpassagedeactivated"/>
          <w:rFonts w:eastAsiaTheme="majorEastAsia" w:cs="Arial"/>
          <w:color w:val="000000"/>
          <w:bdr w:val="none" w:sz="0" w:space="0" w:color="auto" w:frame="1"/>
        </w:rPr>
        <w:t xml:space="preserve"> </w:t>
      </w:r>
      <w:r w:rsidRPr="00C27813">
        <w:rPr>
          <w:rStyle w:val="ssrfcpassagedeactivated"/>
          <w:rFonts w:eastAsiaTheme="majorEastAsia" w:cs="Arial"/>
          <w:color w:val="000000"/>
          <w:bdr w:val="none" w:sz="0" w:space="0" w:color="auto" w:frame="1"/>
        </w:rPr>
        <w:t>The Court w</w:t>
      </w:r>
      <w:r>
        <w:rPr>
          <w:rStyle w:val="ssrfcpassagedeactivated"/>
          <w:rFonts w:eastAsiaTheme="majorEastAsia" w:cs="Arial"/>
          <w:color w:val="000000"/>
          <w:bdr w:val="none" w:sz="0" w:space="0" w:color="auto" w:frame="1"/>
        </w:rPr>
        <w:t>ould</w:t>
      </w:r>
      <w:r w:rsidRPr="00C27813">
        <w:rPr>
          <w:rStyle w:val="ssrfcpassagedeactivated"/>
          <w:rFonts w:eastAsiaTheme="majorEastAsia" w:cs="Arial"/>
          <w:color w:val="000000"/>
          <w:bdr w:val="none" w:sz="0" w:space="0" w:color="auto" w:frame="1"/>
        </w:rPr>
        <w:t xml:space="preserve">, in the </w:t>
      </w:r>
      <w:r>
        <w:rPr>
          <w:rStyle w:val="ssrfcpassagedeactivated"/>
          <w:rFonts w:eastAsiaTheme="majorEastAsia" w:cs="Arial"/>
          <w:color w:val="000000"/>
          <w:bdr w:val="none" w:sz="0" w:space="0" w:color="auto" w:frame="1"/>
        </w:rPr>
        <w:t xml:space="preserve">very </w:t>
      </w:r>
      <w:r w:rsidRPr="00C27813">
        <w:rPr>
          <w:rStyle w:val="ssrfcpassagedeactivated"/>
          <w:rFonts w:eastAsiaTheme="majorEastAsia" w:cs="Arial"/>
          <w:color w:val="000000"/>
          <w:bdr w:val="none" w:sz="0" w:space="0" w:color="auto" w:frame="1"/>
        </w:rPr>
        <w:t>truest meaning of the phrase, “leave the parties to their own solutions.”</w:t>
      </w:r>
      <w:r>
        <w:rPr>
          <w:rStyle w:val="ssrfcpassagedeactivated"/>
          <w:rFonts w:eastAsiaTheme="majorEastAsia" w:cs="Arial"/>
          <w:color w:val="000000"/>
          <w:bdr w:val="none" w:sz="0" w:space="0" w:color="auto" w:frame="1"/>
        </w:rPr>
        <w:t xml:space="preserve"> They could then solve the problem by immediate settlement, or, for the time being, leave it deadlocked with a 50/50 ownership. Nor could the Hameds and Yusufs end the dispute without Manal’s lifting of the lien of the mortgage—making her a fully involved participant in any solution.</w:t>
      </w:r>
      <w:bookmarkEnd w:id="1"/>
    </w:p>
    <w:p w14:paraId="04B71227" w14:textId="77777777" w:rsidR="000031AC" w:rsidRPr="00C27813" w:rsidRDefault="000031AC" w:rsidP="000031AC">
      <w:pPr>
        <w:spacing w:line="480" w:lineRule="auto"/>
        <w:ind w:firstLine="720"/>
        <w:jc w:val="both"/>
        <w:outlineLvl w:val="0"/>
        <w:rPr>
          <w:rFonts w:cs="Arial"/>
        </w:rPr>
      </w:pPr>
      <w:r w:rsidRPr="00C27813">
        <w:rPr>
          <w:rFonts w:cs="Arial"/>
        </w:rPr>
        <w:t xml:space="preserve">Like the state courts, the federal courts routinely apply the doctrine. </w:t>
      </w:r>
      <w:r w:rsidRPr="00AB1605">
        <w:rPr>
          <w:rFonts w:cs="Arial"/>
          <w:i/>
          <w:iCs/>
        </w:rPr>
        <w:t xml:space="preserve">See </w:t>
      </w:r>
      <w:r w:rsidRPr="00AB1605">
        <w:rPr>
          <w:rFonts w:cs="Arial"/>
          <w:i/>
          <w:iCs/>
          <w:bdr w:val="none" w:sz="0" w:space="0" w:color="auto" w:frame="1"/>
        </w:rPr>
        <w:t>George v. NCAA</w:t>
      </w:r>
      <w:r w:rsidRPr="00C27813">
        <w:rPr>
          <w:rFonts w:cs="Arial"/>
          <w:bdr w:val="none" w:sz="0" w:space="0" w:color="auto" w:frame="1"/>
        </w:rPr>
        <w:t>, 623 F.3d 1135, 1138 (7th Cir. 2010)</w:t>
      </w:r>
      <w:r w:rsidRPr="00C27813">
        <w:rPr>
          <w:rFonts w:cs="Arial"/>
        </w:rPr>
        <w:t xml:space="preserve"> </w:t>
      </w:r>
      <w:r>
        <w:rPr>
          <w:rFonts w:cs="Arial"/>
        </w:rPr>
        <w:t xml:space="preserve">where </w:t>
      </w:r>
      <w:r w:rsidRPr="00C27813">
        <w:rPr>
          <w:rFonts w:cs="Arial"/>
        </w:rPr>
        <w:t>the Court certified a legal issue, applying the doctrine:</w:t>
      </w:r>
    </w:p>
    <w:p w14:paraId="7E400BD3" w14:textId="5B1FB6F1" w:rsidR="000031AC" w:rsidRDefault="000031AC" w:rsidP="000031AC">
      <w:pPr>
        <w:ind w:left="720" w:right="720"/>
        <w:jc w:val="both"/>
        <w:outlineLvl w:val="0"/>
        <w:rPr>
          <w:rFonts w:cs="Arial"/>
          <w:color w:val="000000"/>
        </w:rPr>
      </w:pPr>
      <w:r w:rsidRPr="00C27813">
        <w:rPr>
          <w:rFonts w:cs="Arial"/>
          <w:color w:val="000000"/>
        </w:rPr>
        <w:t>If the plaintiffs' allegations describe an unlawful lottery, do plaintiffs' allegations show that their claims are subject to an </w:t>
      </w:r>
      <w:r w:rsidRPr="00C27813">
        <w:rPr>
          <w:rStyle w:val="sh1768352402"/>
          <w:rFonts w:cs="Arial"/>
          <w:i/>
          <w:iCs/>
          <w:color w:val="000000"/>
          <w:bdr w:val="none" w:sz="0" w:space="0" w:color="auto" w:frame="1"/>
        </w:rPr>
        <w:t>in pari del</w:t>
      </w:r>
      <w:r>
        <w:rPr>
          <w:rStyle w:val="sh1768352402"/>
          <w:rFonts w:cs="Arial"/>
          <w:i/>
          <w:iCs/>
          <w:color w:val="000000"/>
          <w:bdr w:val="none" w:sz="0" w:space="0" w:color="auto" w:frame="1"/>
        </w:rPr>
        <w:t>i</w:t>
      </w:r>
      <w:r w:rsidRPr="00C27813">
        <w:rPr>
          <w:rStyle w:val="sh1768352402"/>
          <w:rFonts w:cs="Arial"/>
          <w:i/>
          <w:iCs/>
          <w:color w:val="000000"/>
          <w:bdr w:val="none" w:sz="0" w:space="0" w:color="auto" w:frame="1"/>
        </w:rPr>
        <w:t>cto</w:t>
      </w:r>
      <w:r w:rsidRPr="00C27813">
        <w:rPr>
          <w:rFonts w:cs="Arial"/>
          <w:color w:val="000000"/>
        </w:rPr>
        <w:t> defense as described in </w:t>
      </w:r>
      <w:r w:rsidRPr="00C27813">
        <w:rPr>
          <w:rStyle w:val="ssit"/>
          <w:rFonts w:cs="Arial"/>
          <w:i/>
          <w:iCs/>
          <w:color w:val="000000"/>
          <w:bdr w:val="none" w:sz="0" w:space="0" w:color="auto" w:frame="1"/>
        </w:rPr>
        <w:t>Lesher</w:t>
      </w:r>
      <w:r w:rsidRPr="00C27813">
        <w:rPr>
          <w:rFonts w:cs="Arial"/>
          <w:color w:val="000000"/>
        </w:rPr>
        <w:t>, 496 N.E.2d at 790 n.1, and </w:t>
      </w:r>
      <w:r w:rsidRPr="00C27813">
        <w:rPr>
          <w:rStyle w:val="ssit"/>
          <w:rFonts w:cs="Arial"/>
          <w:i/>
          <w:iCs/>
          <w:color w:val="000000"/>
          <w:bdr w:val="none" w:sz="0" w:space="0" w:color="auto" w:frame="1"/>
        </w:rPr>
        <w:t>Swain v. Bussell</w:t>
      </w:r>
      <w:r w:rsidRPr="00C27813">
        <w:rPr>
          <w:rFonts w:cs="Arial"/>
          <w:color w:val="000000"/>
        </w:rPr>
        <w:t>, 10 Ind. 331, 10 Ind. 438, 442 (1858)?</w:t>
      </w:r>
    </w:p>
    <w:p w14:paraId="6ABA1829" w14:textId="77777777" w:rsidR="00A61AA6" w:rsidRPr="00A61AA6" w:rsidRDefault="00A61AA6" w:rsidP="000031AC">
      <w:pPr>
        <w:ind w:left="720" w:right="720"/>
        <w:jc w:val="both"/>
        <w:outlineLvl w:val="0"/>
        <w:rPr>
          <w:rFonts w:cs="Arial"/>
          <w:color w:val="000000"/>
          <w:sz w:val="16"/>
          <w:szCs w:val="16"/>
        </w:rPr>
      </w:pPr>
    </w:p>
    <w:p w14:paraId="37332CD3" w14:textId="77777777" w:rsidR="000031AC" w:rsidRPr="00C27813" w:rsidRDefault="000031AC" w:rsidP="00B95972">
      <w:pPr>
        <w:spacing w:line="480" w:lineRule="auto"/>
        <w:jc w:val="both"/>
        <w:outlineLvl w:val="0"/>
        <w:rPr>
          <w:rFonts w:cs="Arial"/>
        </w:rPr>
      </w:pPr>
      <w:r w:rsidRPr="00C27813">
        <w:rPr>
          <w:rFonts w:cs="Arial"/>
        </w:rPr>
        <w:t xml:space="preserve">In </w:t>
      </w:r>
      <w:r w:rsidRPr="00C27813">
        <w:rPr>
          <w:rFonts w:cs="Arial"/>
          <w:i/>
          <w:iCs/>
          <w:bdr w:val="none" w:sz="0" w:space="0" w:color="auto" w:frame="1"/>
        </w:rPr>
        <w:t>Claybrook v. Broad &amp; Cassel, P.A. (In re Scott Acquisition Corp.</w:t>
      </w:r>
      <w:r w:rsidRPr="00C27813">
        <w:rPr>
          <w:rFonts w:cs="Arial"/>
          <w:bdr w:val="none" w:sz="0" w:space="0" w:color="auto" w:frame="1"/>
        </w:rPr>
        <w:t>), 364 B.R. 562, 573 (Bankr. D. Del. 2007), the court surveys six circuit courts to note that all six circuit courts have approved the doctrine</w:t>
      </w:r>
      <w:r>
        <w:rPr>
          <w:rFonts w:cs="Arial"/>
          <w:bdr w:val="none" w:sz="0" w:space="0" w:color="auto" w:frame="1"/>
        </w:rPr>
        <w:t xml:space="preserve"> in the bankruptcy context as well</w:t>
      </w:r>
      <w:r w:rsidRPr="00C27813">
        <w:rPr>
          <w:rFonts w:cs="Arial"/>
          <w:bdr w:val="none" w:sz="0" w:space="0" w:color="auto" w:frame="1"/>
        </w:rPr>
        <w:t>, and no other circuit has ever found to the contrary,</w:t>
      </w:r>
    </w:p>
    <w:p w14:paraId="414B6535" w14:textId="77777777" w:rsidR="000031AC" w:rsidRPr="00C27813" w:rsidRDefault="000031AC" w:rsidP="000031AC">
      <w:pPr>
        <w:ind w:left="720" w:right="720"/>
        <w:jc w:val="both"/>
        <w:outlineLvl w:val="0"/>
        <w:rPr>
          <w:rFonts w:cs="Arial"/>
          <w:color w:val="000000"/>
        </w:rPr>
      </w:pPr>
      <w:r w:rsidRPr="00C27813">
        <w:rPr>
          <w:rStyle w:val="ssrfcsection"/>
          <w:rFonts w:cs="Arial"/>
          <w:color w:val="000000"/>
          <w:bdr w:val="none" w:sz="0" w:space="0" w:color="auto" w:frame="1"/>
        </w:rPr>
        <w:t>While this Court is sympathetic to the notion that it is not good policy to bar innocent trustees and reward guilty third parties under the </w:t>
      </w:r>
      <w:r w:rsidRPr="00C27813">
        <w:rPr>
          <w:rStyle w:val="ssit"/>
          <w:rFonts w:cs="Arial"/>
          <w:i/>
          <w:iCs/>
          <w:color w:val="000000"/>
          <w:bdr w:val="none" w:sz="0" w:space="0" w:color="auto" w:frame="1"/>
        </w:rPr>
        <w:t>in pari delicto</w:t>
      </w:r>
      <w:r w:rsidRPr="00C27813">
        <w:rPr>
          <w:rStyle w:val="ssrfcsection"/>
          <w:rFonts w:cs="Arial"/>
          <w:color w:val="000000"/>
          <w:bdr w:val="none" w:sz="0" w:space="0" w:color="auto" w:frame="1"/>
        </w:rPr>
        <w:t xml:space="preserve"> doctrine, </w:t>
      </w:r>
      <w:r w:rsidRPr="00C27813">
        <w:rPr>
          <w:rStyle w:val="ssrfcsection"/>
          <w:rFonts w:cs="Arial"/>
          <w:b/>
          <w:bCs/>
          <w:color w:val="000000"/>
          <w:bdr w:val="none" w:sz="0" w:space="0" w:color="auto" w:frame="1"/>
        </w:rPr>
        <w:t>the six circuit courts decisions noted above (pp. 18-19, </w:t>
      </w:r>
      <w:r w:rsidRPr="00C27813">
        <w:rPr>
          <w:rStyle w:val="ssun"/>
          <w:rFonts w:cs="Arial"/>
          <w:b/>
          <w:bCs/>
          <w:color w:val="000000"/>
          <w:u w:val="single"/>
          <w:bdr w:val="none" w:sz="0" w:space="0" w:color="auto" w:frame="1"/>
        </w:rPr>
        <w:t>supra</w:t>
      </w:r>
      <w:r w:rsidRPr="00C27813">
        <w:rPr>
          <w:rStyle w:val="ssrfcsection"/>
          <w:rFonts w:cs="Arial"/>
          <w:b/>
          <w:bCs/>
          <w:color w:val="000000"/>
          <w:bdr w:val="none" w:sz="0" w:space="0" w:color="auto" w:frame="1"/>
        </w:rPr>
        <w:t>), with no circuit court decisions to the contrary, make it clear that there is no basis in the Bankruptcy Code for negating what is a clearly valid affirmative defense under state law.</w:t>
      </w:r>
      <w:r w:rsidRPr="00C27813">
        <w:rPr>
          <w:rStyle w:val="ssrfcsection"/>
          <w:rFonts w:cs="Arial"/>
          <w:color w:val="000000"/>
          <w:bdr w:val="none" w:sz="0" w:space="0" w:color="auto" w:frame="1"/>
        </w:rPr>
        <w:t xml:space="preserve"> Two recent bankruptcy court decisions unequivocally reaffirm that case law: </w:t>
      </w:r>
      <w:r w:rsidRPr="00C27813">
        <w:rPr>
          <w:rStyle w:val="ssun"/>
          <w:rFonts w:cs="Arial"/>
          <w:color w:val="000000"/>
          <w:u w:val="single"/>
          <w:bdr w:val="none" w:sz="0" w:space="0" w:color="auto" w:frame="1"/>
        </w:rPr>
        <w:t>In re ms55, Inc.,</w:t>
      </w:r>
      <w:r w:rsidRPr="00C27813">
        <w:rPr>
          <w:rStyle w:val="ssrfcsection"/>
          <w:rFonts w:cs="Arial"/>
          <w:color w:val="000000"/>
          <w:bdr w:val="none" w:sz="0" w:space="0" w:color="auto" w:frame="1"/>
        </w:rPr>
        <w:t> 338 B.R. at 893 n.4 (Negating the </w:t>
      </w:r>
      <w:r w:rsidRPr="00C27813">
        <w:rPr>
          <w:rStyle w:val="sh1768352402"/>
          <w:rFonts w:cs="Arial"/>
          <w:i/>
          <w:iCs/>
          <w:color w:val="000000"/>
          <w:bdr w:val="none" w:sz="0" w:space="0" w:color="auto" w:frame="1"/>
        </w:rPr>
        <w:t>in pari del</w:t>
      </w:r>
      <w:r>
        <w:rPr>
          <w:rStyle w:val="sh1768352402"/>
          <w:rFonts w:cs="Arial"/>
          <w:i/>
          <w:iCs/>
          <w:color w:val="000000"/>
          <w:bdr w:val="none" w:sz="0" w:space="0" w:color="auto" w:frame="1"/>
        </w:rPr>
        <w:t>i</w:t>
      </w:r>
      <w:r w:rsidRPr="00C27813">
        <w:rPr>
          <w:rStyle w:val="sh1768352402"/>
          <w:rFonts w:cs="Arial"/>
          <w:i/>
          <w:iCs/>
          <w:color w:val="000000"/>
          <w:bdr w:val="none" w:sz="0" w:space="0" w:color="auto" w:frame="1"/>
        </w:rPr>
        <w:t>cto</w:t>
      </w:r>
      <w:r w:rsidRPr="00C27813">
        <w:rPr>
          <w:rStyle w:val="ssrfcsection"/>
          <w:rFonts w:cs="Arial"/>
          <w:color w:val="000000"/>
          <w:bdr w:val="none" w:sz="0" w:space="0" w:color="auto" w:frame="1"/>
        </w:rPr>
        <w:t xml:space="preserve"> defense in </w:t>
      </w:r>
      <w:r w:rsidRPr="00C27813">
        <w:rPr>
          <w:rStyle w:val="ssrfcsection"/>
          <w:rFonts w:cs="Arial"/>
          <w:color w:val="000000"/>
          <w:bdr w:val="none" w:sz="0" w:space="0" w:color="auto" w:frame="1"/>
        </w:rPr>
        <w:lastRenderedPageBreak/>
        <w:t>bankruptcy cases "is a prescription for judges, in pursuit of equity, to create the bankruptcy law where none exists. . . . </w:t>
      </w:r>
      <w:r w:rsidRPr="00C27813">
        <w:rPr>
          <w:rFonts w:cs="Arial"/>
          <w:color w:val="000000"/>
        </w:rPr>
        <w:t>Whether subjecting the bankruptcy trustee to an </w:t>
      </w:r>
      <w:r w:rsidRPr="00C27813">
        <w:rPr>
          <w:rStyle w:val="ssit"/>
          <w:rFonts w:cs="Arial"/>
          <w:i/>
          <w:iCs/>
          <w:color w:val="000000"/>
          <w:bdr w:val="none" w:sz="0" w:space="0" w:color="auto" w:frame="1"/>
        </w:rPr>
        <w:t>in pari delicto</w:t>
      </w:r>
      <w:r w:rsidRPr="00C27813">
        <w:rPr>
          <w:rFonts w:cs="Arial"/>
          <w:color w:val="000000"/>
        </w:rPr>
        <w:t> defense is good policy or bad, it is good bankruptcy law."); </w:t>
      </w:r>
      <w:r w:rsidRPr="00C27813">
        <w:rPr>
          <w:rStyle w:val="ssun"/>
          <w:rFonts w:cs="Arial"/>
          <w:color w:val="000000"/>
          <w:u w:val="single"/>
          <w:bdr w:val="none" w:sz="0" w:space="0" w:color="auto" w:frame="1"/>
        </w:rPr>
        <w:t>Alberts v. Tuft (In re Greater Southeast Cmty. Hosp. Corp.),</w:t>
      </w:r>
      <w:r w:rsidRPr="00C27813">
        <w:rPr>
          <w:rFonts w:cs="Arial"/>
          <w:color w:val="000000"/>
        </w:rPr>
        <w:t> 353 B.R. 324, 364 (Bankr. D.D.C. 2006) ("This court will not turn a blind eye to the laws actually written by Congress out of misguided fealty to the imagined policies informing it.").</w:t>
      </w:r>
      <w:r>
        <w:rPr>
          <w:rFonts w:cs="Arial"/>
          <w:color w:val="000000"/>
        </w:rPr>
        <w:t xml:space="preserve"> (Emphasis added.)</w:t>
      </w:r>
    </w:p>
    <w:p w14:paraId="047671D5" w14:textId="77777777" w:rsidR="000031AC" w:rsidRPr="00C27813" w:rsidRDefault="000031AC" w:rsidP="000031AC">
      <w:pPr>
        <w:ind w:left="720" w:right="720"/>
        <w:jc w:val="both"/>
        <w:outlineLvl w:val="0"/>
        <w:rPr>
          <w:rFonts w:cs="Arial"/>
          <w:color w:val="000000"/>
        </w:rPr>
      </w:pPr>
    </w:p>
    <w:p w14:paraId="4EF9A81C" w14:textId="403CE825" w:rsidR="000031AC" w:rsidRPr="00C27813" w:rsidRDefault="000031AC" w:rsidP="000031AC">
      <w:pPr>
        <w:spacing w:line="480" w:lineRule="auto"/>
        <w:jc w:val="both"/>
        <w:outlineLvl w:val="0"/>
        <w:rPr>
          <w:rFonts w:cs="Arial"/>
          <w:color w:val="000000"/>
        </w:rPr>
      </w:pPr>
      <w:r w:rsidRPr="00C27813">
        <w:rPr>
          <w:rFonts w:cs="Arial"/>
          <w:color w:val="000000"/>
        </w:rPr>
        <w:t xml:space="preserve">Similarly, in </w:t>
      </w:r>
      <w:r w:rsidRPr="00C27813">
        <w:rPr>
          <w:rFonts w:cs="Arial"/>
          <w:i/>
          <w:iCs/>
          <w:bdr w:val="none" w:sz="0" w:space="0" w:color="auto" w:frame="1"/>
        </w:rPr>
        <w:t>Kalisch v. Maple Trade Fin. Corp. (In re Kalisch)</w:t>
      </w:r>
      <w:r w:rsidRPr="00C27813">
        <w:rPr>
          <w:rFonts w:cs="Arial"/>
          <w:bdr w:val="none" w:sz="0" w:space="0" w:color="auto" w:frame="1"/>
        </w:rPr>
        <w:t xml:space="preserve">, 2009 U.S. Dist. LEXIS 81805, at *2 (S.D.N.Y. Sep. 3, 2009) the court affirmed the decision of the Bankruptcy Court following a three-day trial in which both sides asserted countervailing views of the doctrine. And in </w:t>
      </w:r>
      <w:r w:rsidRPr="00C27813">
        <w:rPr>
          <w:rFonts w:cs="Arial"/>
          <w:i/>
          <w:iCs/>
          <w:bdr w:val="none" w:sz="0" w:space="0" w:color="auto" w:frame="1"/>
        </w:rPr>
        <w:t>Fox v. Picard (In re Madoff)</w:t>
      </w:r>
      <w:r w:rsidRPr="00C27813">
        <w:rPr>
          <w:rFonts w:cs="Arial"/>
          <w:bdr w:val="none" w:sz="0" w:space="0" w:color="auto" w:frame="1"/>
        </w:rPr>
        <w:t xml:space="preserve">, 848 F. Supp. 2d 469, 476-77 (S.D.N.Y. 2012) a party argued that </w:t>
      </w:r>
      <w:r w:rsidRPr="00C27813">
        <w:rPr>
          <w:rFonts w:cs="Arial"/>
          <w:color w:val="000000"/>
        </w:rPr>
        <w:t>the Bankruptcy Court exceeded its jurisdiction by striking the fifth issue from their statement of issues on appeal. The issue that the Bankruptcy Court struck was "[w]hether the Bankruptcy Court erred by not determining that the trustee . . . was barred by the doctrine of </w:t>
      </w:r>
      <w:r w:rsidRPr="00C27813">
        <w:rPr>
          <w:rStyle w:val="sh1768352402"/>
          <w:rFonts w:cs="Arial"/>
          <w:color w:val="000000"/>
          <w:bdr w:val="none" w:sz="0" w:space="0" w:color="auto" w:frame="1"/>
        </w:rPr>
        <w:t>in pari delecto</w:t>
      </w:r>
      <w:r w:rsidRPr="00C27813">
        <w:rPr>
          <w:rFonts w:cs="Arial"/>
          <w:color w:val="000000"/>
        </w:rPr>
        <w:t> [sic] from pursuing the claims asserted by the Appellants in their complaints in Florida federal court . . . ."</w:t>
      </w:r>
      <w:r w:rsidR="003065FE">
        <w:rPr>
          <w:rFonts w:cs="Arial"/>
          <w:color w:val="000000"/>
        </w:rPr>
        <w:t xml:space="preserve"> </w:t>
      </w:r>
      <w:r w:rsidRPr="00C27813">
        <w:rPr>
          <w:rFonts w:cs="Arial"/>
          <w:color w:val="000000"/>
        </w:rPr>
        <w:t>The striking order was vacated on procedural bases, and the application of the doctrine was allowed.</w:t>
      </w:r>
    </w:p>
    <w:p w14:paraId="5AB308B2" w14:textId="5ABAF08A" w:rsidR="000031AC" w:rsidRDefault="000031AC" w:rsidP="000A7D63">
      <w:pPr>
        <w:ind w:firstLine="720"/>
        <w:jc w:val="both"/>
        <w:outlineLvl w:val="0"/>
        <w:rPr>
          <w:rFonts w:cs="Arial"/>
          <w:color w:val="000000"/>
        </w:rPr>
      </w:pPr>
      <w:r w:rsidRPr="000D2A30">
        <w:rPr>
          <w:rFonts w:cs="Arial"/>
          <w:color w:val="000000"/>
        </w:rPr>
        <w:t>Minority view</w:t>
      </w:r>
    </w:p>
    <w:p w14:paraId="50AAD425" w14:textId="77777777" w:rsidR="000A7D63" w:rsidRPr="000A7D63" w:rsidRDefault="000A7D63" w:rsidP="000A7D63">
      <w:pPr>
        <w:ind w:firstLine="720"/>
        <w:jc w:val="both"/>
        <w:outlineLvl w:val="0"/>
        <w:rPr>
          <w:rFonts w:cs="Arial"/>
          <w:color w:val="000000"/>
          <w:sz w:val="16"/>
          <w:szCs w:val="16"/>
        </w:rPr>
      </w:pPr>
    </w:p>
    <w:p w14:paraId="21617C4B" w14:textId="1581BBA4" w:rsidR="000031AC" w:rsidRPr="00C27813" w:rsidRDefault="000031AC" w:rsidP="000031AC">
      <w:pPr>
        <w:spacing w:line="480" w:lineRule="auto"/>
        <w:ind w:firstLine="720"/>
        <w:jc w:val="both"/>
        <w:outlineLvl w:val="0"/>
        <w:rPr>
          <w:rFonts w:cs="Arial"/>
          <w:color w:val="000000"/>
        </w:rPr>
      </w:pPr>
      <w:r w:rsidRPr="00C27813">
        <w:rPr>
          <w:rFonts w:cs="Arial"/>
          <w:color w:val="000000"/>
        </w:rPr>
        <w:t>There really is no</w:t>
      </w:r>
      <w:r>
        <w:rPr>
          <w:rFonts w:cs="Arial"/>
          <w:color w:val="000000"/>
        </w:rPr>
        <w:t xml:space="preserve"> minority view</w:t>
      </w:r>
      <w:r w:rsidRPr="00C27813">
        <w:rPr>
          <w:rFonts w:cs="Arial"/>
          <w:color w:val="000000"/>
        </w:rPr>
        <w:t xml:space="preserve"> in this context. There are occasions when the doctrine </w:t>
      </w:r>
      <w:r>
        <w:rPr>
          <w:rFonts w:cs="Arial"/>
          <w:color w:val="000000"/>
        </w:rPr>
        <w:t xml:space="preserve">is subject to its own exceptions (as discussed below) or where it </w:t>
      </w:r>
      <w:r w:rsidRPr="00C27813">
        <w:rPr>
          <w:rFonts w:cs="Arial"/>
          <w:color w:val="000000"/>
        </w:rPr>
        <w:t xml:space="preserve">comes into conflict with state </w:t>
      </w:r>
      <w:r w:rsidR="003129DA" w:rsidRPr="00C27813">
        <w:rPr>
          <w:rFonts w:cs="Arial"/>
          <w:color w:val="000000"/>
        </w:rPr>
        <w:t>workers’ compensation</w:t>
      </w:r>
      <w:r w:rsidRPr="00C27813">
        <w:rPr>
          <w:rFonts w:cs="Arial"/>
          <w:color w:val="000000"/>
        </w:rPr>
        <w:t xml:space="preserve"> </w:t>
      </w:r>
      <w:r>
        <w:rPr>
          <w:rFonts w:cs="Arial"/>
          <w:color w:val="000000"/>
        </w:rPr>
        <w:t xml:space="preserve">or other administrative </w:t>
      </w:r>
      <w:r w:rsidRPr="00C27813">
        <w:rPr>
          <w:rFonts w:cs="Arial"/>
          <w:color w:val="000000"/>
        </w:rPr>
        <w:t>policies (as in the Maine case above</w:t>
      </w:r>
      <w:r>
        <w:rPr>
          <w:rFonts w:cs="Arial"/>
          <w:color w:val="000000"/>
        </w:rPr>
        <w:t>.</w:t>
      </w:r>
      <w:r w:rsidRPr="00C27813">
        <w:rPr>
          <w:rFonts w:cs="Arial"/>
          <w:color w:val="000000"/>
        </w:rPr>
        <w:t>)</w:t>
      </w:r>
      <w:r w:rsidR="003065FE">
        <w:rPr>
          <w:rFonts w:cs="Arial"/>
          <w:color w:val="000000"/>
        </w:rPr>
        <w:t xml:space="preserve"> </w:t>
      </w:r>
      <w:r>
        <w:rPr>
          <w:rFonts w:cs="Arial"/>
          <w:color w:val="000000"/>
        </w:rPr>
        <w:t xml:space="preserve">In tort actions, it has also been obviated by </w:t>
      </w:r>
      <w:r w:rsidRPr="00C27813">
        <w:rPr>
          <w:rFonts w:cs="Arial"/>
          <w:color w:val="000000"/>
        </w:rPr>
        <w:t>rules applicable to contribution or indemnification among joint tortfeasors</w:t>
      </w:r>
      <w:r>
        <w:rPr>
          <w:rFonts w:cs="Arial"/>
          <w:color w:val="000000"/>
        </w:rPr>
        <w:t xml:space="preserve"> as against an innocent third party. </w:t>
      </w:r>
      <w:r w:rsidRPr="00C27813">
        <w:rPr>
          <w:rFonts w:cs="Arial"/>
          <w:color w:val="000000"/>
        </w:rPr>
        <w:t xml:space="preserve">But those decisions do not apply where, as here, the issue is a contract or other instrument created as part of </w:t>
      </w:r>
      <w:r>
        <w:rPr>
          <w:rFonts w:cs="Arial"/>
          <w:color w:val="000000"/>
        </w:rPr>
        <w:t>the mutual</w:t>
      </w:r>
      <w:r w:rsidR="00F72A05">
        <w:rPr>
          <w:rFonts w:cs="Arial"/>
          <w:color w:val="000000"/>
        </w:rPr>
        <w:t>,</w:t>
      </w:r>
      <w:r w:rsidRPr="00C27813">
        <w:rPr>
          <w:rFonts w:cs="Arial"/>
          <w:color w:val="000000"/>
        </w:rPr>
        <w:t xml:space="preserve"> criminal </w:t>
      </w:r>
      <w:r w:rsidR="00F72A05">
        <w:rPr>
          <w:rFonts w:cs="Arial"/>
          <w:color w:val="000000"/>
        </w:rPr>
        <w:t xml:space="preserve">tax </w:t>
      </w:r>
      <w:r w:rsidRPr="00C27813">
        <w:rPr>
          <w:rFonts w:cs="Arial"/>
          <w:color w:val="000000"/>
        </w:rPr>
        <w:t xml:space="preserve">scheme. </w:t>
      </w:r>
      <w:r w:rsidR="00F72A05">
        <w:rPr>
          <w:rFonts w:cs="Arial"/>
          <w:color w:val="000000"/>
        </w:rPr>
        <w:t xml:space="preserve">In fact, </w:t>
      </w:r>
      <w:r w:rsidR="00B95972">
        <w:rPr>
          <w:rFonts w:cs="Arial"/>
          <w:color w:val="000000"/>
        </w:rPr>
        <w:t>it is</w:t>
      </w:r>
      <w:r w:rsidR="00F72A05">
        <w:rPr>
          <w:rFonts w:cs="Arial"/>
          <w:color w:val="000000"/>
        </w:rPr>
        <w:t xml:space="preserve"> </w:t>
      </w:r>
      <w:r w:rsidRPr="00C27813">
        <w:rPr>
          <w:rFonts w:cs="Arial"/>
          <w:color w:val="000000"/>
        </w:rPr>
        <w:t xml:space="preserve">particularly </w:t>
      </w:r>
      <w:r w:rsidR="00B95972">
        <w:rPr>
          <w:rFonts w:cs="Arial"/>
          <w:color w:val="000000"/>
        </w:rPr>
        <w:t xml:space="preserve">applicable to </w:t>
      </w:r>
      <w:r w:rsidRPr="00C27813">
        <w:rPr>
          <w:rFonts w:cs="Arial"/>
          <w:color w:val="000000"/>
        </w:rPr>
        <w:t>tax avoidance schemes</w:t>
      </w:r>
      <w:r>
        <w:rPr>
          <w:rFonts w:cs="Arial"/>
          <w:color w:val="000000"/>
        </w:rPr>
        <w:t>—</w:t>
      </w:r>
      <w:r w:rsidR="00B95972">
        <w:rPr>
          <w:rFonts w:cs="Arial"/>
          <w:color w:val="000000"/>
        </w:rPr>
        <w:t>regarding</w:t>
      </w:r>
      <w:r w:rsidRPr="00C27813">
        <w:rPr>
          <w:rFonts w:cs="Arial"/>
          <w:color w:val="000000"/>
        </w:rPr>
        <w:t xml:space="preserve"> which there are many</w:t>
      </w:r>
      <w:r>
        <w:rPr>
          <w:rFonts w:cs="Arial"/>
          <w:color w:val="000000"/>
        </w:rPr>
        <w:t xml:space="preserve"> decisions</w:t>
      </w:r>
      <w:r w:rsidRPr="00C27813">
        <w:rPr>
          <w:rFonts w:cs="Arial"/>
          <w:color w:val="000000"/>
        </w:rPr>
        <w:t xml:space="preserve">. An excellent example is </w:t>
      </w:r>
      <w:r w:rsidRPr="001E6A62">
        <w:rPr>
          <w:rFonts w:cs="Arial"/>
          <w:i/>
          <w:iCs/>
          <w:bdr w:val="none" w:sz="0" w:space="0" w:color="auto" w:frame="1"/>
        </w:rPr>
        <w:t>Coudert v. Hokin</w:t>
      </w:r>
      <w:r w:rsidRPr="00C27813">
        <w:rPr>
          <w:rFonts w:cs="Arial"/>
          <w:bdr w:val="none" w:sz="0" w:space="0" w:color="auto" w:frame="1"/>
        </w:rPr>
        <w:t>, No. 12-CV-0110 (ALC), 2017 U.S. Dist. LEXIS 227044, at *12-14 (S.D.N.Y. Aug. 23, 2017) where the court considered just such a scheme:</w:t>
      </w:r>
    </w:p>
    <w:p w14:paraId="33EA04BD" w14:textId="77777777" w:rsidR="000031AC" w:rsidRPr="00C27813" w:rsidRDefault="000031AC" w:rsidP="000031AC">
      <w:pPr>
        <w:ind w:left="720" w:right="720"/>
        <w:jc w:val="both"/>
        <w:outlineLvl w:val="0"/>
        <w:rPr>
          <w:rStyle w:val="ssrfcpassagedeactivated"/>
          <w:rFonts w:eastAsiaTheme="majorEastAsia" w:cs="Arial"/>
          <w:color w:val="000000"/>
          <w:bdr w:val="none" w:sz="0" w:space="0" w:color="auto" w:frame="1"/>
        </w:rPr>
      </w:pPr>
      <w:r w:rsidRPr="00C27813">
        <w:rPr>
          <w:rFonts w:cs="Arial"/>
          <w:color w:val="000000"/>
        </w:rPr>
        <w:t xml:space="preserve">Plaintiff argues that Defendant's counterclaim is unenforceable as a matter of law because the claim relies on void loan instruments. Pl's Br. at 14-19. According to Plaintiff, </w:t>
      </w:r>
      <w:r w:rsidRPr="00C27813">
        <w:rPr>
          <w:rFonts w:cs="Arial"/>
          <w:b/>
          <w:bCs/>
          <w:color w:val="000000"/>
        </w:rPr>
        <w:t xml:space="preserve">the loan instruments that Defendant submitted were only executed by the parties to avoid tax liability which </w:t>
      </w:r>
      <w:r w:rsidRPr="00C27813">
        <w:rPr>
          <w:rFonts w:cs="Arial"/>
          <w:b/>
          <w:bCs/>
          <w:color w:val="000000"/>
        </w:rPr>
        <w:lastRenderedPageBreak/>
        <w:t>implicates the doctrine of </w:t>
      </w:r>
      <w:r w:rsidRPr="00C27813">
        <w:rPr>
          <w:rStyle w:val="ssit"/>
          <w:rFonts w:cs="Arial"/>
          <w:b/>
          <w:bCs/>
          <w:i/>
          <w:iCs/>
          <w:color w:val="000000"/>
          <w:bdr w:val="none" w:sz="0" w:space="0" w:color="auto" w:frame="1"/>
        </w:rPr>
        <w:t>in</w:t>
      </w:r>
      <w:r>
        <w:rPr>
          <w:rStyle w:val="ssit"/>
          <w:rFonts w:cs="Arial"/>
          <w:b/>
          <w:bCs/>
          <w:i/>
          <w:iCs/>
          <w:color w:val="000000"/>
          <w:bdr w:val="none" w:sz="0" w:space="0" w:color="auto" w:frame="1"/>
        </w:rPr>
        <w:t xml:space="preserve"> </w:t>
      </w:r>
      <w:r w:rsidRPr="00C27813">
        <w:rPr>
          <w:rStyle w:val="ssit"/>
          <w:rFonts w:cs="Arial"/>
          <w:b/>
          <w:bCs/>
          <w:i/>
          <w:iCs/>
          <w:color w:val="000000"/>
          <w:bdr w:val="none" w:sz="0" w:space="0" w:color="auto" w:frame="1"/>
        </w:rPr>
        <w:t>pari delicto.</w:t>
      </w:r>
      <w:r w:rsidRPr="00C27813">
        <w:rPr>
          <w:rStyle w:val="ssit"/>
          <w:rFonts w:cs="Arial"/>
          <w:i/>
          <w:iCs/>
          <w:color w:val="000000"/>
          <w:bdr w:val="none" w:sz="0" w:space="0" w:color="auto" w:frame="1"/>
        </w:rPr>
        <w:t> </w:t>
      </w:r>
      <w:r w:rsidRPr="00C27813">
        <w:rPr>
          <w:rStyle w:val="ssrfcpassagedeactivated"/>
          <w:rFonts w:eastAsiaTheme="majorEastAsia" w:cs="Arial"/>
          <w:i/>
          <w:iCs/>
          <w:color w:val="000000"/>
          <w:bdr w:val="none" w:sz="0" w:space="0" w:color="auto" w:frame="1"/>
        </w:rPr>
        <w:t>Id.</w:t>
      </w:r>
      <w:r w:rsidRPr="00C27813">
        <w:rPr>
          <w:rStyle w:val="ssrfcpassagedeactivated"/>
          <w:rFonts w:eastAsiaTheme="majorEastAsia" w:cs="Arial"/>
          <w:color w:val="000000"/>
          <w:bdr w:val="none" w:sz="0" w:space="0" w:color="auto" w:frame="1"/>
        </w:rPr>
        <w:t> Defendant responds that the loan instruments are fully executed documents not susceptible to parol evidence, therefore the Court should disregard any allegations of a tax evasion scheme. </w:t>
      </w:r>
      <w:r w:rsidRPr="00C27813">
        <w:rPr>
          <w:rStyle w:val="ssrfcsection"/>
          <w:rFonts w:cs="Arial"/>
          <w:color w:val="000000"/>
          <w:bdr w:val="none" w:sz="0" w:space="0" w:color="auto" w:frame="1"/>
        </w:rPr>
        <w:t>Def's Br. at 11-14. "New York's parol evidence rule provides that evidence outside the four corners of the document is admissible to modify or contradict a written agreement only if a court finds an ambiguity in the contract." </w:t>
      </w:r>
      <w:r w:rsidRPr="00C27813">
        <w:rPr>
          <w:rStyle w:val="ssit"/>
          <w:rFonts w:cs="Arial"/>
          <w:i/>
          <w:iCs/>
          <w:color w:val="000000"/>
          <w:bdr w:val="none" w:sz="0" w:space="0" w:color="auto" w:frame="1"/>
        </w:rPr>
        <w:t>Kamdem-Ouaffo v. Pepsico, Inc.</w:t>
      </w:r>
      <w:r w:rsidRPr="00C27813">
        <w:rPr>
          <w:rStyle w:val="ssrfcsection"/>
          <w:rFonts w:cs="Arial"/>
          <w:color w:val="000000"/>
          <w:bdr w:val="none" w:sz="0" w:space="0" w:color="auto" w:frame="1"/>
        </w:rPr>
        <w:t>, No. 14-CV-227, 2015 U.S. Dist. LEXIS 28497, 2015 WL 1011816, at *9 (S.D.N.Y. Mar. 9, 2015) (citation and internal quotation marks omitted). </w:t>
      </w:r>
      <w:r w:rsidRPr="00C27813">
        <w:rPr>
          <w:rStyle w:val="ssrfcsection"/>
          <w:rFonts w:cs="Arial"/>
          <w:b/>
          <w:bCs/>
          <w:color w:val="000000"/>
          <w:bdr w:val="none" w:sz="0" w:space="0" w:color="auto" w:frame="1"/>
        </w:rPr>
        <w:t>"Nevertheless, parol evidence may be offered to show that a writing, although purporting to be a contract, is, in fact, no contract at all."</w:t>
      </w:r>
      <w:r w:rsidRPr="00C27813">
        <w:rPr>
          <w:rStyle w:val="ssrfcsection"/>
          <w:rFonts w:cs="Arial"/>
          <w:color w:val="000000"/>
          <w:bdr w:val="none" w:sz="0" w:space="0" w:color="auto" w:frame="1"/>
        </w:rPr>
        <w:t> </w:t>
      </w:r>
      <w:r w:rsidRPr="00C27813">
        <w:rPr>
          <w:rStyle w:val="ssit"/>
          <w:rFonts w:cs="Arial"/>
          <w:i/>
          <w:iCs/>
          <w:color w:val="000000"/>
          <w:bdr w:val="none" w:sz="0" w:space="0" w:color="auto" w:frame="1"/>
        </w:rPr>
        <w:t>Polygram Holding, Inc. v. Cafaro</w:t>
      </w:r>
      <w:r w:rsidRPr="00C27813">
        <w:rPr>
          <w:rStyle w:val="ssrfcsection"/>
          <w:rFonts w:cs="Arial"/>
          <w:color w:val="000000"/>
          <w:bdr w:val="none" w:sz="0" w:space="0" w:color="auto" w:frame="1"/>
        </w:rPr>
        <w:t xml:space="preserve">, 42 A.D.3d 339, 340, 839 N.Y.S.2d 493 (1st Dep't 2007) (citations and internal quotation marks omitted). New York Courts have permitted parol evidence </w:t>
      </w:r>
      <w:r w:rsidRPr="00C27813">
        <w:rPr>
          <w:rStyle w:val="ssrfcsection"/>
          <w:rFonts w:cs="Arial"/>
          <w:b/>
          <w:bCs/>
          <w:color w:val="000000"/>
          <w:bdr w:val="none" w:sz="0" w:space="0" w:color="auto" w:frame="1"/>
        </w:rPr>
        <w:t>to determine whether the writing is in fact a contract or tax evasion scheme where the parties to the initial loan transaction are identical litigants before the Court, the beneficiary of the tax scheme has not disappeared, and there is no third party whose interests are involved.</w:t>
      </w:r>
      <w:r w:rsidRPr="00C27813">
        <w:rPr>
          <w:rStyle w:val="ssrfcsection"/>
          <w:rFonts w:cs="Arial"/>
          <w:color w:val="000000"/>
          <w:bdr w:val="none" w:sz="0" w:space="0" w:color="auto" w:frame="1"/>
        </w:rPr>
        <w:t> </w:t>
      </w:r>
      <w:r w:rsidRPr="00C27813">
        <w:rPr>
          <w:rStyle w:val="ssit"/>
          <w:rFonts w:cs="Arial"/>
          <w:i/>
          <w:iCs/>
          <w:color w:val="000000"/>
          <w:bdr w:val="none" w:sz="0" w:space="0" w:color="auto" w:frame="1"/>
        </w:rPr>
        <w:t>Greenleaf v. Lachman</w:t>
      </w:r>
      <w:r w:rsidRPr="00C27813">
        <w:rPr>
          <w:rStyle w:val="ssrfcsection"/>
          <w:rFonts w:cs="Arial"/>
          <w:color w:val="000000"/>
          <w:bdr w:val="none" w:sz="0" w:space="0" w:color="auto" w:frame="1"/>
        </w:rPr>
        <w:t>, 216 A.D.2d 65, 66, 628 N.Y.S.2d 268 (1st Dep't 1995). </w:t>
      </w:r>
      <w:r w:rsidRPr="00C27813">
        <w:rPr>
          <w:rStyle w:val="ssit"/>
          <w:rFonts w:cs="Arial"/>
          <w:i/>
          <w:iCs/>
          <w:color w:val="000000"/>
          <w:bdr w:val="none" w:sz="0" w:space="0" w:color="auto" w:frame="1"/>
        </w:rPr>
        <w:t>See Polygram</w:t>
      </w:r>
      <w:r w:rsidRPr="00C27813">
        <w:rPr>
          <w:rStyle w:val="ssrfcsection"/>
          <w:rFonts w:cs="Arial"/>
          <w:color w:val="000000"/>
          <w:bdr w:val="none" w:sz="0" w:space="0" w:color="auto" w:frame="1"/>
        </w:rPr>
        <w:t>, 42 A.D.3d at 340 (1st Dep't 2007) (denying summary judgment because questions of fact existed as to whether note was a "sham transaction"); </w:t>
      </w:r>
      <w:r w:rsidRPr="00C27813">
        <w:rPr>
          <w:rStyle w:val="ssit"/>
          <w:rFonts w:cs="Arial"/>
          <w:i/>
          <w:iCs/>
          <w:color w:val="000000"/>
          <w:bdr w:val="none" w:sz="0" w:space="0" w:color="auto" w:frame="1"/>
        </w:rPr>
        <w:t>Dayan v. Yurkowski</w:t>
      </w:r>
      <w:r w:rsidRPr="00C27813">
        <w:rPr>
          <w:rStyle w:val="ssrfcsection"/>
          <w:rFonts w:cs="Arial"/>
          <w:color w:val="000000"/>
          <w:bdr w:val="none" w:sz="0" w:space="0" w:color="auto" w:frame="1"/>
        </w:rPr>
        <w:t>, 238 A.D.2d 541, 541, 656 N.Y.S.2d 689 (2d Dep't 1997) ("parol evidence offered by defendant may be considered to show that note, while valid on its face, was never intended to take effect"); </w:t>
      </w:r>
      <w:r w:rsidRPr="00C27813">
        <w:rPr>
          <w:rStyle w:val="ssit"/>
          <w:rFonts w:cs="Arial"/>
          <w:i/>
          <w:iCs/>
          <w:color w:val="000000"/>
          <w:bdr w:val="none" w:sz="0" w:space="0" w:color="auto" w:frame="1"/>
        </w:rPr>
        <w:t>Belknap v. Dean Witter &amp; Co., Inc.</w:t>
      </w:r>
      <w:r w:rsidRPr="00C27813">
        <w:rPr>
          <w:rStyle w:val="ssrfcsection"/>
          <w:rFonts w:cs="Arial"/>
          <w:color w:val="000000"/>
          <w:bdr w:val="none" w:sz="0" w:space="0" w:color="auto" w:frame="1"/>
        </w:rPr>
        <w:t>, 92 A.D.2d 515, 517, 460 N.Y.S.2d 1005 (1st Dep't 1983) (an incomplete contract falls within one of the limited exceptions to the parol evidence rule). </w:t>
      </w:r>
      <w:r w:rsidRPr="00C27813">
        <w:rPr>
          <w:rStyle w:val="ssrfcpassagedeactivated"/>
          <w:rFonts w:eastAsiaTheme="majorEastAsia" w:cs="Arial"/>
          <w:color w:val="000000"/>
          <w:bdr w:val="none" w:sz="0" w:space="0" w:color="auto" w:frame="1"/>
        </w:rPr>
        <w:t>The intent of the parties in issuing the notes is an issue for the trier of fact and parol evidence would be admissible at trial to show whether the parties intended the loan instrument to be a binding debt. If the trier of fact finds that the promissory notes were executed for the purpose of avoiding tax liability it would implicate the doctrine of </w:t>
      </w:r>
      <w:r w:rsidRPr="000A7D63">
        <w:rPr>
          <w:rStyle w:val="ssit"/>
          <w:rFonts w:cs="Arial"/>
          <w:i/>
          <w:iCs/>
          <w:color w:val="000000"/>
          <w:bdr w:val="none" w:sz="0" w:space="0" w:color="auto" w:frame="1"/>
        </w:rPr>
        <w:t>in pari delicto. </w:t>
      </w:r>
      <w:r w:rsidRPr="00C27813">
        <w:rPr>
          <w:rStyle w:val="ssit"/>
          <w:rFonts w:cs="Arial"/>
          <w:i/>
          <w:iCs/>
          <w:color w:val="000000"/>
          <w:bdr w:val="none" w:sz="0" w:space="0" w:color="auto" w:frame="1"/>
        </w:rPr>
        <w:t>Cohen v. Cohen</w:t>
      </w:r>
      <w:r w:rsidRPr="00C27813">
        <w:rPr>
          <w:rStyle w:val="ssrfcpassagedeactivated"/>
          <w:rFonts w:eastAsiaTheme="majorEastAsia" w:cs="Arial"/>
          <w:color w:val="000000"/>
          <w:bdr w:val="none" w:sz="0" w:space="0" w:color="auto" w:frame="1"/>
        </w:rPr>
        <w:t>, 34 Misc.3d 1207[A], 2012 NY Slip Op 50012[U], 943 N.Y.S.2d 790 (Sup. Ct. Suffolk County 2012). (Emphasis added.)</w:t>
      </w:r>
    </w:p>
    <w:p w14:paraId="33C4A90B" w14:textId="77777777" w:rsidR="000031AC" w:rsidRPr="00C27813" w:rsidRDefault="000031AC" w:rsidP="000031AC">
      <w:pPr>
        <w:ind w:left="720" w:right="720"/>
        <w:jc w:val="both"/>
        <w:outlineLvl w:val="0"/>
        <w:rPr>
          <w:rStyle w:val="ssrfcpassagedeactivated"/>
          <w:rFonts w:eastAsiaTheme="majorEastAsia" w:cs="Arial"/>
          <w:color w:val="000000"/>
          <w:bdr w:val="none" w:sz="0" w:space="0" w:color="auto" w:frame="1"/>
        </w:rPr>
      </w:pPr>
    </w:p>
    <w:p w14:paraId="1A95D16E" w14:textId="77777777" w:rsidR="000031AC" w:rsidRPr="00C27813" w:rsidRDefault="000031AC" w:rsidP="000031AC">
      <w:pPr>
        <w:spacing w:line="480" w:lineRule="auto"/>
        <w:jc w:val="both"/>
        <w:outlineLvl w:val="0"/>
        <w:rPr>
          <w:rFonts w:cs="Arial"/>
          <w:color w:val="000000"/>
        </w:rPr>
      </w:pPr>
      <w:r w:rsidRPr="00C27813">
        <w:rPr>
          <w:rFonts w:cs="Arial"/>
          <w:color w:val="000000"/>
        </w:rPr>
        <w:tab/>
        <w:t xml:space="preserve">Counsel can find </w:t>
      </w:r>
      <w:r w:rsidRPr="00F72A05">
        <w:rPr>
          <w:rFonts w:cs="Arial"/>
          <w:i/>
          <w:iCs/>
          <w:color w:val="000000"/>
          <w:u w:val="single"/>
        </w:rPr>
        <w:t>no</w:t>
      </w:r>
      <w:r w:rsidRPr="00C27813">
        <w:rPr>
          <w:rFonts w:cs="Arial"/>
          <w:color w:val="000000"/>
        </w:rPr>
        <w:t xml:space="preserve"> decisions in which </w:t>
      </w:r>
      <w:r w:rsidRPr="0052049A">
        <w:rPr>
          <w:rFonts w:cs="Arial"/>
          <w:i/>
          <w:iCs/>
          <w:color w:val="000000"/>
          <w:u w:val="single"/>
        </w:rPr>
        <w:t>any</w:t>
      </w:r>
      <w:r w:rsidRPr="00C27813">
        <w:rPr>
          <w:rFonts w:cs="Arial"/>
          <w:color w:val="000000"/>
        </w:rPr>
        <w:t xml:space="preserve"> court </w:t>
      </w:r>
      <w:r>
        <w:rPr>
          <w:rFonts w:cs="Arial"/>
          <w:color w:val="000000"/>
        </w:rPr>
        <w:t xml:space="preserve">ever </w:t>
      </w:r>
      <w:r w:rsidRPr="00C27813">
        <w:rPr>
          <w:rFonts w:cs="Arial"/>
          <w:color w:val="000000"/>
        </w:rPr>
        <w:t>refused to apply the doctrine where “</w:t>
      </w:r>
      <w:r w:rsidRPr="00C27813">
        <w:rPr>
          <w:rStyle w:val="ssrfcpassagedeactivated"/>
          <w:rFonts w:eastAsiaTheme="majorEastAsia" w:cs="Arial"/>
          <w:color w:val="000000"/>
          <w:bdr w:val="none" w:sz="0" w:space="0" w:color="auto" w:frame="1"/>
        </w:rPr>
        <w:t xml:space="preserve">the trier of fact [could] find[] that the promissory notes were executed for the purpose of avoiding tax liability.” </w:t>
      </w:r>
      <w:r w:rsidRPr="0052049A">
        <w:rPr>
          <w:rStyle w:val="ssrfcpassagedeactivated"/>
          <w:rFonts w:eastAsiaTheme="majorEastAsia" w:cs="Arial"/>
          <w:i/>
          <w:iCs/>
          <w:color w:val="000000"/>
          <w:bdr w:val="none" w:sz="0" w:space="0" w:color="auto" w:frame="1"/>
        </w:rPr>
        <w:t>Id</w:t>
      </w:r>
      <w:r>
        <w:rPr>
          <w:rStyle w:val="ssrfcpassagedeactivated"/>
          <w:rFonts w:eastAsiaTheme="majorEastAsia" w:cs="Arial"/>
          <w:color w:val="000000"/>
          <w:bdr w:val="none" w:sz="0" w:space="0" w:color="auto" w:frame="1"/>
        </w:rPr>
        <w:t>.</w:t>
      </w:r>
    </w:p>
    <w:p w14:paraId="009038EA" w14:textId="70039941" w:rsidR="000031AC" w:rsidRDefault="000031AC" w:rsidP="000A7D63">
      <w:pPr>
        <w:ind w:firstLine="720"/>
        <w:jc w:val="both"/>
        <w:outlineLvl w:val="0"/>
        <w:rPr>
          <w:rFonts w:cs="Arial"/>
          <w:color w:val="000000"/>
        </w:rPr>
      </w:pPr>
      <w:r w:rsidRPr="008A471F">
        <w:rPr>
          <w:rFonts w:cs="Arial"/>
          <w:color w:val="000000"/>
        </w:rPr>
        <w:t>Exceptions to the Doctrine</w:t>
      </w:r>
    </w:p>
    <w:p w14:paraId="551B48B3" w14:textId="77777777" w:rsidR="000A7D63" w:rsidRPr="000A7D63" w:rsidRDefault="000A7D63" w:rsidP="000A7D63">
      <w:pPr>
        <w:ind w:firstLine="720"/>
        <w:jc w:val="both"/>
        <w:outlineLvl w:val="0"/>
        <w:rPr>
          <w:rFonts w:cs="Arial"/>
          <w:color w:val="000000"/>
          <w:sz w:val="16"/>
          <w:szCs w:val="16"/>
        </w:rPr>
      </w:pPr>
    </w:p>
    <w:p w14:paraId="37E41537" w14:textId="4B9702B0" w:rsidR="000031AC" w:rsidRPr="00C27813" w:rsidRDefault="000031AC" w:rsidP="000031AC">
      <w:pPr>
        <w:spacing w:line="480" w:lineRule="auto"/>
        <w:ind w:firstLine="720"/>
        <w:jc w:val="both"/>
        <w:outlineLvl w:val="0"/>
        <w:rPr>
          <w:rFonts w:cs="Arial"/>
          <w:color w:val="000000"/>
        </w:rPr>
      </w:pPr>
      <w:r w:rsidRPr="00C27813">
        <w:rPr>
          <w:rFonts w:cs="Arial"/>
          <w:color w:val="000000"/>
        </w:rPr>
        <w:t xml:space="preserve">Although </w:t>
      </w:r>
      <w:r w:rsidRPr="0052049A">
        <w:rPr>
          <w:rFonts w:cs="Arial"/>
          <w:i/>
          <w:iCs/>
          <w:color w:val="000000"/>
        </w:rPr>
        <w:t>Banks</w:t>
      </w:r>
      <w:r w:rsidRPr="00C27813">
        <w:rPr>
          <w:rFonts w:cs="Arial"/>
          <w:color w:val="000000"/>
        </w:rPr>
        <w:t xml:space="preserve"> does not require an analysis of exceptions to a rule under consideration, it would be less than forthcoming to avoid mention of the exception</w:t>
      </w:r>
      <w:r>
        <w:rPr>
          <w:rFonts w:cs="Arial"/>
          <w:color w:val="000000"/>
        </w:rPr>
        <w:t>s</w:t>
      </w:r>
      <w:r w:rsidRPr="00C27813">
        <w:rPr>
          <w:rFonts w:cs="Arial"/>
          <w:color w:val="000000"/>
        </w:rPr>
        <w:t>.</w:t>
      </w:r>
      <w:r w:rsidR="003065FE">
        <w:rPr>
          <w:rFonts w:cs="Arial"/>
          <w:color w:val="000000"/>
        </w:rPr>
        <w:t xml:space="preserve"> </w:t>
      </w:r>
    </w:p>
    <w:p w14:paraId="440EBF44" w14:textId="77777777" w:rsidR="000031AC" w:rsidRPr="00C27813" w:rsidRDefault="000031AC" w:rsidP="000031AC">
      <w:pPr>
        <w:ind w:left="720" w:right="720"/>
        <w:jc w:val="both"/>
        <w:outlineLvl w:val="0"/>
        <w:rPr>
          <w:rFonts w:cs="Arial"/>
          <w:b/>
          <w:bCs/>
          <w:color w:val="000000"/>
          <w:bdr w:val="none" w:sz="0" w:space="0" w:color="auto" w:frame="1"/>
          <w:shd w:val="clear" w:color="auto" w:fill="FFFFFF"/>
        </w:rPr>
      </w:pPr>
      <w:r w:rsidRPr="00C27813">
        <w:rPr>
          <w:rStyle w:val="ssit"/>
          <w:rFonts w:cs="Arial"/>
          <w:i/>
          <w:iCs/>
          <w:color w:val="000000"/>
          <w:bdr w:val="none" w:sz="0" w:space="0" w:color="auto" w:frame="1"/>
          <w:shd w:val="clear" w:color="auto" w:fill="FFFFFF"/>
        </w:rPr>
        <w:t>In pari delicto</w:t>
      </w:r>
      <w:r w:rsidRPr="00C27813">
        <w:rPr>
          <w:rStyle w:val="ssrfcsection"/>
          <w:rFonts w:cs="Arial"/>
          <w:color w:val="000000"/>
          <w:bdr w:val="none" w:sz="0" w:space="0" w:color="auto" w:frame="1"/>
          <w:shd w:val="clear" w:color="auto" w:fill="FFFFFF"/>
        </w:rPr>
        <w:t>, "Latin for 'in equal fault,' . . . is a general rule that courts 'will not extend aid to either of the parties to a criminal act or listen to their complaints against each other but will leave them where their own act has placed them.'" "The general rule of </w:t>
      </w:r>
      <w:r w:rsidRPr="00C27813">
        <w:rPr>
          <w:rStyle w:val="sssh"/>
          <w:rFonts w:cs="Arial"/>
          <w:color w:val="000000"/>
          <w:bdr w:val="none" w:sz="0" w:space="0" w:color="auto" w:frame="1"/>
          <w:shd w:val="clear" w:color="auto" w:fill="FFFFFF"/>
        </w:rPr>
        <w:t>in pari delicto</w:t>
      </w:r>
      <w:r w:rsidRPr="00C27813">
        <w:rPr>
          <w:rStyle w:val="ssrfcsection"/>
          <w:rFonts w:cs="Arial"/>
          <w:color w:val="000000"/>
          <w:bdr w:val="none" w:sz="0" w:space="0" w:color="auto" w:frame="1"/>
          <w:shd w:val="clear" w:color="auto" w:fill="FFFFFF"/>
        </w:rPr>
        <w:t>, however, does </w:t>
      </w:r>
      <w:r w:rsidRPr="00C27813">
        <w:rPr>
          <w:rStyle w:val="sssh"/>
          <w:rFonts w:cs="Arial"/>
          <w:color w:val="000000"/>
          <w:bdr w:val="none" w:sz="0" w:space="0" w:color="auto" w:frame="1"/>
          <w:shd w:val="clear" w:color="auto" w:fill="FFFFFF"/>
        </w:rPr>
        <w:t>not apply</w:t>
      </w:r>
      <w:r w:rsidRPr="00C27813">
        <w:rPr>
          <w:rStyle w:val="ssrfcsection"/>
          <w:rFonts w:cs="Arial"/>
          <w:color w:val="000000"/>
          <w:bdr w:val="none" w:sz="0" w:space="0" w:color="auto" w:frame="1"/>
          <w:shd w:val="clear" w:color="auto" w:fill="FFFFFF"/>
        </w:rPr>
        <w:t> in certain discrete circumstances. </w:t>
      </w:r>
      <w:r w:rsidRPr="00C27813">
        <w:rPr>
          <w:rStyle w:val="ssrfcpassagedeactivated"/>
          <w:rFonts w:eastAsiaTheme="majorEastAsia" w:cs="Arial"/>
          <w:color w:val="000000"/>
          <w:bdr w:val="none" w:sz="0" w:space="0" w:color="auto" w:frame="1"/>
          <w:shd w:val="clear" w:color="auto" w:fill="FFFFFF"/>
        </w:rPr>
        <w:t>For example, if . . . the parties are not considered to be in truly equal fault." This </w:t>
      </w:r>
      <w:r w:rsidRPr="00C27813">
        <w:rPr>
          <w:rStyle w:val="ssit"/>
          <w:rFonts w:cs="Arial"/>
          <w:i/>
          <w:iCs/>
          <w:color w:val="000000"/>
          <w:bdr w:val="none" w:sz="0" w:space="0" w:color="auto" w:frame="1"/>
          <w:shd w:val="clear" w:color="auto" w:fill="FFFFFF"/>
        </w:rPr>
        <w:t>in pari delicto</w:t>
      </w:r>
      <w:r w:rsidRPr="00C27813">
        <w:rPr>
          <w:rStyle w:val="ssrfcpassagedeactivated"/>
          <w:rFonts w:eastAsiaTheme="majorEastAsia" w:cs="Arial"/>
          <w:color w:val="000000"/>
          <w:bdr w:val="none" w:sz="0" w:space="0" w:color="auto" w:frame="1"/>
          <w:shd w:val="clear" w:color="auto" w:fill="FFFFFF"/>
        </w:rPr>
        <w:t xml:space="preserve"> exception is further supported by Williston, which states that "illegal bargains may be enforced, at least to some extent, under certain circumstances . . . </w:t>
      </w:r>
      <w:r w:rsidRPr="00C27813">
        <w:rPr>
          <w:rStyle w:val="ssrfcpassagedeactivated"/>
          <w:rFonts w:eastAsiaTheme="majorEastAsia" w:cs="Arial"/>
          <w:color w:val="000000"/>
          <w:bdr w:val="none" w:sz="0" w:space="0" w:color="auto" w:frame="1"/>
          <w:shd w:val="clear" w:color="auto" w:fill="FFFFFF"/>
        </w:rPr>
        <w:lastRenderedPageBreak/>
        <w:t>. </w:t>
      </w:r>
      <w:r w:rsidRPr="00C27813">
        <w:rPr>
          <w:rFonts w:cs="Arial"/>
          <w:color w:val="000000"/>
          <w:shd w:val="clear" w:color="auto" w:fill="FFFFFF"/>
        </w:rPr>
        <w:t>Accordingly, there are exceptions to the general rule that an executed transfer cannot be set aside . . . ."</w:t>
      </w:r>
      <w:r>
        <w:rPr>
          <w:rFonts w:cs="Arial"/>
          <w:color w:val="000000"/>
          <w:shd w:val="clear" w:color="auto" w:fill="FFFFFF"/>
        </w:rPr>
        <w:t xml:space="preserve"> </w:t>
      </w:r>
      <w:r w:rsidRPr="00C27813">
        <w:rPr>
          <w:rFonts w:cs="Arial"/>
          <w:color w:val="000000"/>
          <w:shd w:val="clear" w:color="auto" w:fill="FFFFFF"/>
        </w:rPr>
        <w:t>One such exception applies when "parties not </w:t>
      </w:r>
      <w:r w:rsidRPr="00C27813">
        <w:rPr>
          <w:rStyle w:val="ssit"/>
          <w:rFonts w:cs="Arial"/>
          <w:i/>
          <w:iCs/>
          <w:color w:val="000000"/>
          <w:bdr w:val="none" w:sz="0" w:space="0" w:color="auto" w:frame="1"/>
          <w:shd w:val="clear" w:color="auto" w:fill="FFFFFF"/>
        </w:rPr>
        <w:t>in pari delicto</w:t>
      </w:r>
      <w:r w:rsidRPr="00C27813">
        <w:rPr>
          <w:rFonts w:cs="Arial"/>
          <w:color w:val="000000"/>
          <w:shd w:val="clear" w:color="auto" w:fill="FFFFFF"/>
        </w:rPr>
        <w:t>." As such, under the doctrine of </w:t>
      </w:r>
      <w:r w:rsidRPr="00C27813">
        <w:rPr>
          <w:rStyle w:val="ssit"/>
          <w:rFonts w:cs="Arial"/>
          <w:i/>
          <w:iCs/>
          <w:color w:val="000000"/>
          <w:bdr w:val="none" w:sz="0" w:space="0" w:color="auto" w:frame="1"/>
          <w:shd w:val="clear" w:color="auto" w:fill="FFFFFF"/>
        </w:rPr>
        <w:t>in pari delicto</w:t>
      </w:r>
      <w:r w:rsidRPr="00C27813">
        <w:rPr>
          <w:rFonts w:cs="Arial"/>
          <w:color w:val="000000"/>
          <w:shd w:val="clear" w:color="auto" w:fill="FFFFFF"/>
        </w:rPr>
        <w:t>, a court may return consideration paid toward an illegal contract when the parties are not equally at fault.</w:t>
      </w:r>
    </w:p>
    <w:p w14:paraId="04CC624F" w14:textId="77777777" w:rsidR="000031AC" w:rsidRPr="00C27813" w:rsidRDefault="000031AC" w:rsidP="000031AC">
      <w:pPr>
        <w:ind w:left="720" w:right="720"/>
        <w:jc w:val="both"/>
        <w:outlineLvl w:val="0"/>
        <w:rPr>
          <w:rFonts w:cs="Arial"/>
          <w:b/>
          <w:bCs/>
          <w:color w:val="000000"/>
          <w:bdr w:val="none" w:sz="0" w:space="0" w:color="auto" w:frame="1"/>
          <w:shd w:val="clear" w:color="auto" w:fill="FFFFFF"/>
        </w:rPr>
      </w:pPr>
    </w:p>
    <w:p w14:paraId="2FE41291" w14:textId="2C3CDE7A" w:rsidR="000031AC" w:rsidRDefault="000031AC" w:rsidP="000031AC">
      <w:pPr>
        <w:spacing w:line="480" w:lineRule="auto"/>
        <w:jc w:val="both"/>
        <w:outlineLvl w:val="0"/>
        <w:rPr>
          <w:rFonts w:cs="Arial"/>
          <w:bdr w:val="none" w:sz="0" w:space="0" w:color="auto" w:frame="1"/>
          <w:shd w:val="clear" w:color="auto" w:fill="FFFFFF"/>
        </w:rPr>
      </w:pPr>
      <w:r w:rsidRPr="001E6A62">
        <w:rPr>
          <w:rFonts w:cs="Arial"/>
          <w:i/>
          <w:iCs/>
          <w:bdr w:val="none" w:sz="0" w:space="0" w:color="auto" w:frame="1"/>
          <w:shd w:val="clear" w:color="auto" w:fill="FFFFFF"/>
        </w:rPr>
        <w:t>Geronta Funding v. Brighthouse Life Ins. Co.</w:t>
      </w:r>
      <w:r w:rsidRPr="00C27813">
        <w:rPr>
          <w:rFonts w:cs="Arial"/>
          <w:bdr w:val="none" w:sz="0" w:space="0" w:color="auto" w:frame="1"/>
          <w:shd w:val="clear" w:color="auto" w:fill="FFFFFF"/>
        </w:rPr>
        <w:t xml:space="preserve">, No. 380, 2021, 2022 Del. LEXIS 257, at *32 (Aug. 25, 2022). Thus, it would be accurate to say that even if parties </w:t>
      </w:r>
      <w:r w:rsidR="00322299">
        <w:rPr>
          <w:rFonts w:cs="Arial"/>
          <w:bdr w:val="none" w:sz="0" w:space="0" w:color="auto" w:frame="1"/>
          <w:shd w:val="clear" w:color="auto" w:fill="FFFFFF"/>
        </w:rPr>
        <w:t>are</w:t>
      </w:r>
      <w:r w:rsidRPr="00C27813">
        <w:rPr>
          <w:rFonts w:cs="Arial"/>
          <w:bdr w:val="none" w:sz="0" w:space="0" w:color="auto" w:frame="1"/>
          <w:shd w:val="clear" w:color="auto" w:fill="FFFFFF"/>
        </w:rPr>
        <w:t xml:space="preserve"> </w:t>
      </w:r>
      <w:r w:rsidRPr="0052049A">
        <w:rPr>
          <w:rFonts w:cs="Arial"/>
          <w:i/>
          <w:iCs/>
          <w:bdr w:val="none" w:sz="0" w:space="0" w:color="auto" w:frame="1"/>
          <w:shd w:val="clear" w:color="auto" w:fill="FFFFFF"/>
        </w:rPr>
        <w:t>in pari delicto</w:t>
      </w:r>
      <w:r w:rsidRPr="00C27813">
        <w:rPr>
          <w:rFonts w:cs="Arial"/>
          <w:bdr w:val="none" w:sz="0" w:space="0" w:color="auto" w:frame="1"/>
          <w:shd w:val="clear" w:color="auto" w:fill="FFFFFF"/>
        </w:rPr>
        <w:t xml:space="preserve"> because it is an equitable doctrine, </w:t>
      </w:r>
      <w:r w:rsidR="00F72A05">
        <w:rPr>
          <w:rFonts w:cs="Arial"/>
          <w:bdr w:val="none" w:sz="0" w:space="0" w:color="auto" w:frame="1"/>
          <w:shd w:val="clear" w:color="auto" w:fill="FFFFFF"/>
        </w:rPr>
        <w:t xml:space="preserve">and </w:t>
      </w:r>
      <w:r w:rsidRPr="00C27813">
        <w:rPr>
          <w:rFonts w:cs="Arial"/>
          <w:bdr w:val="none" w:sz="0" w:space="0" w:color="auto" w:frame="1"/>
          <w:shd w:val="clear" w:color="auto" w:fill="FFFFFF"/>
        </w:rPr>
        <w:t xml:space="preserve">even if the illegal bargain will not be enforced, a party that has provided </w:t>
      </w:r>
      <w:r w:rsidRPr="002F3D36">
        <w:rPr>
          <w:rFonts w:cs="Arial"/>
          <w:i/>
          <w:iCs/>
          <w:u w:val="single"/>
          <w:bdr w:val="none" w:sz="0" w:space="0" w:color="auto" w:frame="1"/>
          <w:shd w:val="clear" w:color="auto" w:fill="FFFFFF"/>
        </w:rPr>
        <w:t>actual</w:t>
      </w:r>
      <w:r w:rsidRPr="00C27813">
        <w:rPr>
          <w:rFonts w:cs="Arial"/>
          <w:bdr w:val="none" w:sz="0" w:space="0" w:color="auto" w:frame="1"/>
          <w:shd w:val="clear" w:color="auto" w:fill="FFFFFF"/>
        </w:rPr>
        <w:t xml:space="preserve"> funds </w:t>
      </w:r>
      <w:r w:rsidRPr="00322299">
        <w:rPr>
          <w:rFonts w:cs="Arial"/>
          <w:i/>
          <w:iCs/>
          <w:u w:val="single"/>
          <w:bdr w:val="none" w:sz="0" w:space="0" w:color="auto" w:frame="1"/>
          <w:shd w:val="clear" w:color="auto" w:fill="FFFFFF"/>
        </w:rPr>
        <w:t>may</w:t>
      </w:r>
      <w:r w:rsidRPr="00C27813">
        <w:rPr>
          <w:rFonts w:cs="Arial"/>
          <w:bdr w:val="none" w:sz="0" w:space="0" w:color="auto" w:frame="1"/>
          <w:shd w:val="clear" w:color="auto" w:fill="FFFFFF"/>
        </w:rPr>
        <w:t xml:space="preserve"> be allowed to recover them. That would be an almost automatic consequence in this action. </w:t>
      </w:r>
      <w:r>
        <w:rPr>
          <w:rFonts w:cs="Arial"/>
          <w:bdr w:val="none" w:sz="0" w:space="0" w:color="auto" w:frame="1"/>
          <w:shd w:val="clear" w:color="auto" w:fill="FFFFFF"/>
        </w:rPr>
        <w:t>Here and in the related cases, t</w:t>
      </w:r>
      <w:r w:rsidRPr="00C27813">
        <w:rPr>
          <w:rFonts w:cs="Arial"/>
          <w:bdr w:val="none" w:sz="0" w:space="0" w:color="auto" w:frame="1"/>
          <w:shd w:val="clear" w:color="auto" w:fill="FFFFFF"/>
        </w:rPr>
        <w:t xml:space="preserve">he Hameds and Sixteen Plus will seek to show that none of Manal’s funds went to Sixteen Plus—all of the funds </w:t>
      </w:r>
      <w:r>
        <w:rPr>
          <w:rFonts w:cs="Arial"/>
          <w:bdr w:val="none" w:sz="0" w:space="0" w:color="auto" w:frame="1"/>
          <w:shd w:val="clear" w:color="auto" w:fill="FFFFFF"/>
        </w:rPr>
        <w:t xml:space="preserve">sent to Sixteen Plus </w:t>
      </w:r>
      <w:r w:rsidRPr="00C27813">
        <w:rPr>
          <w:rFonts w:cs="Arial"/>
          <w:bdr w:val="none" w:sz="0" w:space="0" w:color="auto" w:frame="1"/>
          <w:shd w:val="clear" w:color="auto" w:fill="FFFFFF"/>
        </w:rPr>
        <w:t>were skimmed and placed in Isam’s account</w:t>
      </w:r>
      <w:r>
        <w:rPr>
          <w:rFonts w:cs="Arial"/>
          <w:bdr w:val="none" w:sz="0" w:space="0" w:color="auto" w:frame="1"/>
          <w:shd w:val="clear" w:color="auto" w:fill="FFFFFF"/>
        </w:rPr>
        <w:t xml:space="preserve"> by Wally and Fathi</w:t>
      </w:r>
      <w:r w:rsidRPr="00C27813">
        <w:rPr>
          <w:rFonts w:cs="Arial"/>
          <w:bdr w:val="none" w:sz="0" w:space="0" w:color="auto" w:frame="1"/>
          <w:shd w:val="clear" w:color="auto" w:fill="FFFFFF"/>
        </w:rPr>
        <w:t xml:space="preserve">. But if, as that </w:t>
      </w:r>
      <w:r>
        <w:rPr>
          <w:rFonts w:cs="Arial"/>
          <w:bdr w:val="none" w:sz="0" w:space="0" w:color="auto" w:frame="1"/>
          <w:shd w:val="clear" w:color="auto" w:fill="FFFFFF"/>
        </w:rPr>
        <w:t xml:space="preserve">question </w:t>
      </w:r>
      <w:r w:rsidRPr="00C27813">
        <w:rPr>
          <w:rFonts w:cs="Arial"/>
          <w:bdr w:val="none" w:sz="0" w:space="0" w:color="auto" w:frame="1"/>
          <w:shd w:val="clear" w:color="auto" w:fill="FFFFFF"/>
        </w:rPr>
        <w:t xml:space="preserve">is examined, it can be </w:t>
      </w:r>
      <w:r>
        <w:rPr>
          <w:rFonts w:cs="Arial"/>
          <w:bdr w:val="none" w:sz="0" w:space="0" w:color="auto" w:frame="1"/>
          <w:shd w:val="clear" w:color="auto" w:fill="FFFFFF"/>
        </w:rPr>
        <w:t xml:space="preserve">affirmatively and clearly </w:t>
      </w:r>
      <w:r w:rsidRPr="00C27813">
        <w:rPr>
          <w:rFonts w:cs="Arial"/>
          <w:bdr w:val="none" w:sz="0" w:space="0" w:color="auto" w:frame="1"/>
          <w:shd w:val="clear" w:color="auto" w:fill="FFFFFF"/>
        </w:rPr>
        <w:t xml:space="preserve">shown </w:t>
      </w:r>
      <w:r w:rsidR="00FF15F9">
        <w:rPr>
          <w:rFonts w:cs="Arial"/>
          <w:bdr w:val="none" w:sz="0" w:space="0" w:color="auto" w:frame="1"/>
          <w:shd w:val="clear" w:color="auto" w:fill="FFFFFF"/>
        </w:rPr>
        <w:t xml:space="preserve">by </w:t>
      </w:r>
      <w:r w:rsidR="00322299">
        <w:rPr>
          <w:rFonts w:cs="Arial"/>
          <w:bdr w:val="none" w:sz="0" w:space="0" w:color="auto" w:frame="1"/>
          <w:shd w:val="clear" w:color="auto" w:fill="FFFFFF"/>
        </w:rPr>
        <w:t>the defendants</w:t>
      </w:r>
      <w:r w:rsidR="00FF15F9">
        <w:rPr>
          <w:rFonts w:cs="Arial"/>
          <w:bdr w:val="none" w:sz="0" w:space="0" w:color="auto" w:frame="1"/>
          <w:shd w:val="clear" w:color="auto" w:fill="FFFFFF"/>
        </w:rPr>
        <w:t xml:space="preserve"> </w:t>
      </w:r>
      <w:r w:rsidRPr="00C27813">
        <w:rPr>
          <w:rFonts w:cs="Arial"/>
          <w:bdr w:val="none" w:sz="0" w:space="0" w:color="auto" w:frame="1"/>
          <w:shd w:val="clear" w:color="auto" w:fill="FFFFFF"/>
        </w:rPr>
        <w:t xml:space="preserve">that some </w:t>
      </w:r>
      <w:r>
        <w:rPr>
          <w:rFonts w:cs="Arial"/>
          <w:bdr w:val="none" w:sz="0" w:space="0" w:color="auto" w:frame="1"/>
          <w:shd w:val="clear" w:color="auto" w:fill="FFFFFF"/>
        </w:rPr>
        <w:t xml:space="preserve">small </w:t>
      </w:r>
      <w:r w:rsidRPr="00C27813">
        <w:rPr>
          <w:rFonts w:cs="Arial"/>
          <w:bdr w:val="none" w:sz="0" w:space="0" w:color="auto" w:frame="1"/>
          <w:shd w:val="clear" w:color="auto" w:fill="FFFFFF"/>
        </w:rPr>
        <w:t>amount of Manal’s or Isam</w:t>
      </w:r>
      <w:r>
        <w:rPr>
          <w:rFonts w:cs="Arial"/>
          <w:bdr w:val="none" w:sz="0" w:space="0" w:color="auto" w:frame="1"/>
          <w:shd w:val="clear" w:color="auto" w:fill="FFFFFF"/>
        </w:rPr>
        <w:t>’</w:t>
      </w:r>
      <w:r w:rsidRPr="00C27813">
        <w:rPr>
          <w:rFonts w:cs="Arial"/>
          <w:bdr w:val="none" w:sz="0" w:space="0" w:color="auto" w:frame="1"/>
          <w:shd w:val="clear" w:color="auto" w:fill="FFFFFF"/>
        </w:rPr>
        <w:t>s funds were coincidentally included, th</w:t>
      </w:r>
      <w:r w:rsidR="00322299">
        <w:rPr>
          <w:rFonts w:cs="Arial"/>
          <w:bdr w:val="none" w:sz="0" w:space="0" w:color="auto" w:frame="1"/>
          <w:shd w:val="clear" w:color="auto" w:fill="FFFFFF"/>
        </w:rPr>
        <w:t>at amount</w:t>
      </w:r>
      <w:r w:rsidRPr="00C27813">
        <w:rPr>
          <w:rFonts w:cs="Arial"/>
          <w:bdr w:val="none" w:sz="0" w:space="0" w:color="auto" w:frame="1"/>
          <w:shd w:val="clear" w:color="auto" w:fill="FFFFFF"/>
        </w:rPr>
        <w:t xml:space="preserve"> </w:t>
      </w:r>
      <w:r>
        <w:rPr>
          <w:rFonts w:cs="Arial"/>
          <w:bdr w:val="none" w:sz="0" w:space="0" w:color="auto" w:frame="1"/>
          <w:shd w:val="clear" w:color="auto" w:fill="FFFFFF"/>
        </w:rPr>
        <w:t>c</w:t>
      </w:r>
      <w:r w:rsidRPr="00C27813">
        <w:rPr>
          <w:rFonts w:cs="Arial"/>
          <w:bdr w:val="none" w:sz="0" w:space="0" w:color="auto" w:frame="1"/>
          <w:shd w:val="clear" w:color="auto" w:fill="FFFFFF"/>
        </w:rPr>
        <w:t>ould be returned</w:t>
      </w:r>
      <w:r w:rsidR="00322299">
        <w:rPr>
          <w:rFonts w:cs="Arial"/>
          <w:bdr w:val="none" w:sz="0" w:space="0" w:color="auto" w:frame="1"/>
          <w:shd w:val="clear" w:color="auto" w:fill="FFFFFF"/>
        </w:rPr>
        <w:t>.</w:t>
      </w:r>
    </w:p>
    <w:p w14:paraId="5BA92269" w14:textId="1995843F" w:rsidR="000031AC" w:rsidRPr="00164385" w:rsidRDefault="000031AC" w:rsidP="000031AC">
      <w:pPr>
        <w:spacing w:line="480" w:lineRule="auto"/>
        <w:jc w:val="both"/>
        <w:outlineLvl w:val="0"/>
        <w:rPr>
          <w:rFonts w:cs="Arial"/>
          <w:bdr w:val="none" w:sz="0" w:space="0" w:color="auto" w:frame="1"/>
          <w:shd w:val="clear" w:color="auto" w:fill="FFFFFF"/>
        </w:rPr>
      </w:pPr>
      <w:r>
        <w:rPr>
          <w:rFonts w:cs="Arial"/>
          <w:bdr w:val="none" w:sz="0" w:space="0" w:color="auto" w:frame="1"/>
          <w:shd w:val="clear" w:color="auto" w:fill="FFFFFF"/>
        </w:rPr>
        <w:tab/>
      </w:r>
      <w:r w:rsidR="00ED6C0F">
        <w:rPr>
          <w:rFonts w:cs="Arial"/>
          <w:bdr w:val="none" w:sz="0" w:space="0" w:color="auto" w:frame="1"/>
          <w:shd w:val="clear" w:color="auto" w:fill="FFFFFF"/>
        </w:rPr>
        <w:t>It does not apply in most antitrust actions and “</w:t>
      </w:r>
      <w:r w:rsidRPr="00164385">
        <w:rPr>
          <w:rFonts w:cs="Arial"/>
          <w:color w:val="000000"/>
        </w:rPr>
        <w:t>the </w:t>
      </w:r>
      <w:r w:rsidRPr="00164385">
        <w:rPr>
          <w:rStyle w:val="sssh"/>
          <w:rFonts w:cs="Arial"/>
          <w:i/>
          <w:iCs/>
          <w:color w:val="000000"/>
          <w:bdr w:val="none" w:sz="0" w:space="0" w:color="auto" w:frame="1"/>
        </w:rPr>
        <w:t>in pari delicto</w:t>
      </w:r>
      <w:r w:rsidRPr="00164385">
        <w:rPr>
          <w:rFonts w:cs="Arial"/>
          <w:color w:val="000000"/>
        </w:rPr>
        <w:t> doctrine bars claims against </w:t>
      </w:r>
      <w:r w:rsidRPr="00164385">
        <w:rPr>
          <w:rStyle w:val="sssh"/>
          <w:rFonts w:cs="Arial"/>
          <w:color w:val="000000"/>
          <w:bdr w:val="none" w:sz="0" w:space="0" w:color="auto" w:frame="1"/>
        </w:rPr>
        <w:t>co-conspirators</w:t>
      </w:r>
      <w:r w:rsidRPr="00164385">
        <w:rPr>
          <w:rFonts w:cs="Arial"/>
          <w:color w:val="000000"/>
        </w:rPr>
        <w:t> for negligence</w:t>
      </w:r>
      <w:r>
        <w:rPr>
          <w:rFonts w:cs="Arial"/>
          <w:color w:val="000000"/>
        </w:rPr>
        <w:t>" as opposed to their intentional acts.</w:t>
      </w:r>
      <w:r w:rsidRPr="00164385">
        <w:rPr>
          <w:rFonts w:cs="Arial"/>
          <w:color w:val="000000"/>
        </w:rPr>
        <w:t xml:space="preserve"> </w:t>
      </w:r>
      <w:r w:rsidRPr="00164385">
        <w:rPr>
          <w:rFonts w:cs="Arial"/>
          <w:i/>
          <w:iCs/>
          <w:bdr w:val="none" w:sz="0" w:space="0" w:color="auto" w:frame="1"/>
        </w:rPr>
        <w:t>Kirschner v. Large S'holders (In re Tribune Co. Fraudulent Conveyance Litig.),</w:t>
      </w:r>
      <w:r w:rsidRPr="00164385">
        <w:rPr>
          <w:rFonts w:cs="Arial"/>
          <w:bdr w:val="none" w:sz="0" w:space="0" w:color="auto" w:frame="1"/>
        </w:rPr>
        <w:t xml:space="preserve"> 10 F.4th 147, 168 (2d Cir. 2021)</w:t>
      </w:r>
      <w:r>
        <w:rPr>
          <w:rFonts w:cs="Arial"/>
          <w:bdr w:val="none" w:sz="0" w:space="0" w:color="auto" w:frame="1"/>
        </w:rPr>
        <w:t xml:space="preserve">(New York and Illinois.) </w:t>
      </w:r>
      <w:r w:rsidR="00ED6C0F">
        <w:rPr>
          <w:rFonts w:cs="Arial"/>
          <w:bdr w:val="none" w:sz="0" w:space="0" w:color="auto" w:frame="1"/>
        </w:rPr>
        <w:t>T</w:t>
      </w:r>
      <w:r>
        <w:rPr>
          <w:rFonts w:cs="Arial"/>
          <w:bdr w:val="none" w:sz="0" w:space="0" w:color="auto" w:frame="1"/>
        </w:rPr>
        <w:t>h</w:t>
      </w:r>
      <w:r w:rsidR="00ED6C0F">
        <w:rPr>
          <w:rFonts w:cs="Arial"/>
          <w:bdr w:val="none" w:sz="0" w:space="0" w:color="auto" w:frame="1"/>
        </w:rPr>
        <w:t>ese exceptions</w:t>
      </w:r>
      <w:r>
        <w:rPr>
          <w:rFonts w:cs="Arial"/>
          <w:bdr w:val="none" w:sz="0" w:space="0" w:color="auto" w:frame="1"/>
        </w:rPr>
        <w:t xml:space="preserve"> </w:t>
      </w:r>
      <w:r w:rsidR="00ED6C0F">
        <w:rPr>
          <w:rFonts w:cs="Arial"/>
          <w:bdr w:val="none" w:sz="0" w:space="0" w:color="auto" w:frame="1"/>
        </w:rPr>
        <w:t>are</w:t>
      </w:r>
      <w:r>
        <w:rPr>
          <w:rFonts w:cs="Arial"/>
          <w:bdr w:val="none" w:sz="0" w:space="0" w:color="auto" w:frame="1"/>
        </w:rPr>
        <w:t xml:space="preserve"> not applicable here.</w:t>
      </w:r>
    </w:p>
    <w:p w14:paraId="0299F8E7" w14:textId="596B99E1" w:rsidR="000031AC" w:rsidRDefault="000031AC" w:rsidP="000A7D63">
      <w:pPr>
        <w:ind w:firstLine="720"/>
        <w:jc w:val="both"/>
        <w:outlineLvl w:val="0"/>
        <w:rPr>
          <w:rFonts w:cs="Arial"/>
          <w:bdr w:val="none" w:sz="0" w:space="0" w:color="auto" w:frame="1"/>
          <w:shd w:val="clear" w:color="auto" w:fill="FFFFFF"/>
        </w:rPr>
      </w:pPr>
      <w:r w:rsidRPr="000D2A30">
        <w:rPr>
          <w:rFonts w:cs="Arial"/>
          <w:bdr w:val="none" w:sz="0" w:space="0" w:color="auto" w:frame="1"/>
          <w:shd w:val="clear" w:color="auto" w:fill="FFFFFF"/>
        </w:rPr>
        <w:t>Agents</w:t>
      </w:r>
    </w:p>
    <w:p w14:paraId="0FFB26CE" w14:textId="77777777" w:rsidR="000A7D63" w:rsidRPr="000A7D63" w:rsidRDefault="000A7D63" w:rsidP="000A7D63">
      <w:pPr>
        <w:ind w:firstLine="720"/>
        <w:jc w:val="both"/>
        <w:outlineLvl w:val="0"/>
        <w:rPr>
          <w:rFonts w:cs="Arial"/>
          <w:sz w:val="16"/>
          <w:szCs w:val="16"/>
          <w:bdr w:val="none" w:sz="0" w:space="0" w:color="auto" w:frame="1"/>
          <w:shd w:val="clear" w:color="auto" w:fill="FFFFFF"/>
        </w:rPr>
      </w:pPr>
    </w:p>
    <w:p w14:paraId="67EE78D4" w14:textId="44B4D1E6" w:rsidR="000031AC" w:rsidRPr="00DA7ABD" w:rsidRDefault="000031AC" w:rsidP="000031AC">
      <w:pPr>
        <w:pStyle w:val="ListParagraph"/>
        <w:spacing w:after="0" w:line="480" w:lineRule="auto"/>
        <w:ind w:left="0" w:firstLine="720"/>
        <w:jc w:val="both"/>
        <w:outlineLvl w:val="0"/>
        <w:rPr>
          <w:rFonts w:ascii="Arial" w:hAnsi="Arial" w:cs="Arial"/>
          <w:sz w:val="24"/>
          <w:szCs w:val="24"/>
          <w:bdr w:val="none" w:sz="0" w:space="0" w:color="auto" w:frame="1"/>
          <w:shd w:val="clear" w:color="auto" w:fill="FFFFFF"/>
        </w:rPr>
      </w:pPr>
      <w:r w:rsidRPr="00DA7ABD">
        <w:rPr>
          <w:rFonts w:ascii="Arial" w:hAnsi="Arial" w:cs="Arial"/>
          <w:sz w:val="24"/>
          <w:szCs w:val="24"/>
          <w:bdr w:val="none" w:sz="0" w:space="0" w:color="auto" w:frame="1"/>
          <w:shd w:val="clear" w:color="auto" w:fill="FFFFFF"/>
        </w:rPr>
        <w:t xml:space="preserve">Manal Yousef claims that </w:t>
      </w:r>
      <w:r>
        <w:rPr>
          <w:rFonts w:ascii="Arial" w:hAnsi="Arial" w:cs="Arial"/>
          <w:sz w:val="24"/>
          <w:szCs w:val="24"/>
          <w:bdr w:val="none" w:sz="0" w:space="0" w:color="auto" w:frame="1"/>
          <w:shd w:val="clear" w:color="auto" w:fill="FFFFFF"/>
        </w:rPr>
        <w:t xml:space="preserve">almost all </w:t>
      </w:r>
      <w:r w:rsidRPr="00DA7ABD">
        <w:rPr>
          <w:rFonts w:ascii="Arial" w:hAnsi="Arial" w:cs="Arial"/>
          <w:sz w:val="24"/>
          <w:szCs w:val="24"/>
          <w:bdr w:val="none" w:sz="0" w:space="0" w:color="auto" w:frame="1"/>
          <w:shd w:val="clear" w:color="auto" w:fill="FFFFFF"/>
        </w:rPr>
        <w:t xml:space="preserve">of her acts were undertaken by her brother Isam Yousuf </w:t>
      </w:r>
      <w:r>
        <w:rPr>
          <w:rFonts w:ascii="Arial" w:hAnsi="Arial" w:cs="Arial"/>
          <w:sz w:val="24"/>
          <w:szCs w:val="24"/>
          <w:bdr w:val="none" w:sz="0" w:space="0" w:color="auto" w:frame="1"/>
          <w:shd w:val="clear" w:color="auto" w:fill="FFFFFF"/>
        </w:rPr>
        <w:t xml:space="preserve">as her agent. Thus, her agent, acting for her, </w:t>
      </w:r>
      <w:r w:rsidRPr="00DA7ABD">
        <w:rPr>
          <w:rFonts w:ascii="Arial" w:hAnsi="Arial" w:cs="Arial"/>
          <w:sz w:val="24"/>
          <w:szCs w:val="24"/>
          <w:bdr w:val="none" w:sz="0" w:space="0" w:color="auto" w:frame="1"/>
          <w:shd w:val="clear" w:color="auto" w:fill="FFFFFF"/>
        </w:rPr>
        <w:t>was one of the central co-conspirators</w:t>
      </w:r>
      <w:r>
        <w:rPr>
          <w:rFonts w:ascii="Arial" w:hAnsi="Arial" w:cs="Arial"/>
          <w:sz w:val="24"/>
          <w:szCs w:val="24"/>
          <w:bdr w:val="none" w:sz="0" w:space="0" w:color="auto" w:frame="1"/>
          <w:shd w:val="clear" w:color="auto" w:fill="FFFFFF"/>
        </w:rPr>
        <w:t xml:space="preserve"> with regard to the note and mortgage</w:t>
      </w:r>
      <w:r w:rsidRPr="00DA7ABD">
        <w:rPr>
          <w:rFonts w:ascii="Arial" w:hAnsi="Arial" w:cs="Arial"/>
          <w:sz w:val="24"/>
          <w:szCs w:val="24"/>
          <w:bdr w:val="none" w:sz="0" w:space="0" w:color="auto" w:frame="1"/>
          <w:shd w:val="clear" w:color="auto" w:fill="FFFFFF"/>
        </w:rPr>
        <w:t xml:space="preserve">. </w:t>
      </w:r>
      <w:r>
        <w:rPr>
          <w:rFonts w:ascii="Arial" w:hAnsi="Arial" w:cs="Arial"/>
          <w:sz w:val="24"/>
          <w:szCs w:val="24"/>
          <w:bdr w:val="none" w:sz="0" w:space="0" w:color="auto" w:frame="1"/>
          <w:shd w:val="clear" w:color="auto" w:fill="FFFFFF"/>
        </w:rPr>
        <w:t>A</w:t>
      </w:r>
      <w:r w:rsidRPr="00DA7ABD">
        <w:rPr>
          <w:rFonts w:ascii="Arial" w:hAnsi="Arial" w:cs="Arial"/>
          <w:sz w:val="24"/>
          <w:szCs w:val="24"/>
          <w:bdr w:val="none" w:sz="0" w:space="0" w:color="auto" w:frame="1"/>
          <w:shd w:val="clear" w:color="auto" w:fill="FFFFFF"/>
        </w:rPr>
        <w:t xml:space="preserve"> bit should</w:t>
      </w:r>
      <w:r>
        <w:rPr>
          <w:rFonts w:ascii="Arial" w:hAnsi="Arial" w:cs="Arial"/>
          <w:sz w:val="24"/>
          <w:szCs w:val="24"/>
          <w:bdr w:val="none" w:sz="0" w:space="0" w:color="auto" w:frame="1"/>
          <w:shd w:val="clear" w:color="auto" w:fill="FFFFFF"/>
        </w:rPr>
        <w:t>, therefore,</w:t>
      </w:r>
      <w:r w:rsidRPr="00DA7ABD">
        <w:rPr>
          <w:rFonts w:ascii="Arial" w:hAnsi="Arial" w:cs="Arial"/>
          <w:sz w:val="24"/>
          <w:szCs w:val="24"/>
          <w:bdr w:val="none" w:sz="0" w:space="0" w:color="auto" w:frame="1"/>
          <w:shd w:val="clear" w:color="auto" w:fill="FFFFFF"/>
        </w:rPr>
        <w:t xml:space="preserve"> be said here about agency and </w:t>
      </w:r>
      <w:r>
        <w:rPr>
          <w:rFonts w:ascii="Arial" w:hAnsi="Arial" w:cs="Arial"/>
          <w:sz w:val="24"/>
          <w:szCs w:val="24"/>
          <w:bdr w:val="none" w:sz="0" w:space="0" w:color="auto" w:frame="1"/>
          <w:shd w:val="clear" w:color="auto" w:fill="FFFFFF"/>
        </w:rPr>
        <w:t xml:space="preserve">imputing </w:t>
      </w:r>
      <w:r w:rsidRPr="00DA7ABD">
        <w:rPr>
          <w:rFonts w:ascii="Arial" w:hAnsi="Arial" w:cs="Arial"/>
          <w:sz w:val="24"/>
          <w:szCs w:val="24"/>
          <w:bdr w:val="none" w:sz="0" w:space="0" w:color="auto" w:frame="1"/>
          <w:shd w:val="clear" w:color="auto" w:fill="FFFFFF"/>
        </w:rPr>
        <w:t xml:space="preserve">the acts of agents </w:t>
      </w:r>
      <w:r w:rsidRPr="00DA7ABD">
        <w:rPr>
          <w:rFonts w:ascii="Arial" w:hAnsi="Arial" w:cs="Arial"/>
          <w:i/>
          <w:iCs/>
          <w:sz w:val="24"/>
          <w:szCs w:val="24"/>
          <w:bdr w:val="none" w:sz="0" w:space="0" w:color="auto" w:frame="1"/>
          <w:shd w:val="clear" w:color="auto" w:fill="FFFFFF"/>
        </w:rPr>
        <w:t>in pari delicto</w:t>
      </w:r>
      <w:r w:rsidRPr="00DA7ABD">
        <w:rPr>
          <w:rFonts w:ascii="Arial" w:hAnsi="Arial" w:cs="Arial"/>
          <w:sz w:val="24"/>
          <w:szCs w:val="24"/>
          <w:bdr w:val="none" w:sz="0" w:space="0" w:color="auto" w:frame="1"/>
          <w:shd w:val="clear" w:color="auto" w:fill="FFFFFF"/>
        </w:rPr>
        <w:t>. In every jurisdiction</w:t>
      </w:r>
      <w:r>
        <w:rPr>
          <w:rFonts w:ascii="Arial" w:hAnsi="Arial" w:cs="Arial"/>
          <w:sz w:val="24"/>
          <w:szCs w:val="24"/>
          <w:bdr w:val="none" w:sz="0" w:space="0" w:color="auto" w:frame="1"/>
          <w:shd w:val="clear" w:color="auto" w:fill="FFFFFF"/>
        </w:rPr>
        <w:t xml:space="preserve"> to have considered the issue, </w:t>
      </w:r>
      <w:r w:rsidRPr="00DA7ABD">
        <w:rPr>
          <w:rFonts w:ascii="Arial" w:hAnsi="Arial" w:cs="Arial"/>
          <w:sz w:val="24"/>
          <w:szCs w:val="24"/>
          <w:bdr w:val="none" w:sz="0" w:space="0" w:color="auto" w:frame="1"/>
          <w:shd w:val="clear" w:color="auto" w:fill="FFFFFF"/>
        </w:rPr>
        <w:t>the acts of an agent are imputed to the principal UNLESS that agent is acting adverse</w:t>
      </w:r>
      <w:r>
        <w:rPr>
          <w:rFonts w:ascii="Arial" w:hAnsi="Arial" w:cs="Arial"/>
          <w:sz w:val="24"/>
          <w:szCs w:val="24"/>
          <w:bdr w:val="none" w:sz="0" w:space="0" w:color="auto" w:frame="1"/>
          <w:shd w:val="clear" w:color="auto" w:fill="FFFFFF"/>
        </w:rPr>
        <w:t>ly</w:t>
      </w:r>
      <w:r w:rsidRPr="00DA7ABD">
        <w:rPr>
          <w:rFonts w:ascii="Arial" w:hAnsi="Arial" w:cs="Arial"/>
          <w:sz w:val="24"/>
          <w:szCs w:val="24"/>
          <w:bdr w:val="none" w:sz="0" w:space="0" w:color="auto" w:frame="1"/>
          <w:shd w:val="clear" w:color="auto" w:fill="FFFFFF"/>
        </w:rPr>
        <w:t xml:space="preserve"> to the principal’s interests. </w:t>
      </w:r>
      <w:r>
        <w:rPr>
          <w:rFonts w:ascii="Arial" w:hAnsi="Arial" w:cs="Arial"/>
          <w:sz w:val="24"/>
          <w:szCs w:val="24"/>
          <w:bdr w:val="none" w:sz="0" w:space="0" w:color="auto" w:frame="1"/>
          <w:shd w:val="clear" w:color="auto" w:fill="FFFFFF"/>
        </w:rPr>
        <w:t xml:space="preserve">This is referred to as the ‘adverse interest exception’ to liability for </w:t>
      </w:r>
      <w:r w:rsidR="003129DA">
        <w:rPr>
          <w:rFonts w:ascii="Arial" w:hAnsi="Arial" w:cs="Arial"/>
          <w:sz w:val="24"/>
          <w:szCs w:val="24"/>
          <w:bdr w:val="none" w:sz="0" w:space="0" w:color="auto" w:frame="1"/>
          <w:shd w:val="clear" w:color="auto" w:fill="FFFFFF"/>
        </w:rPr>
        <w:t>a</w:t>
      </w:r>
      <w:r>
        <w:rPr>
          <w:rFonts w:ascii="Arial" w:hAnsi="Arial" w:cs="Arial"/>
          <w:sz w:val="24"/>
          <w:szCs w:val="24"/>
          <w:bdr w:val="none" w:sz="0" w:space="0" w:color="auto" w:frame="1"/>
          <w:shd w:val="clear" w:color="auto" w:fill="FFFFFF"/>
        </w:rPr>
        <w:t xml:space="preserve"> </w:t>
      </w:r>
      <w:r w:rsidR="00FF15F9">
        <w:rPr>
          <w:rFonts w:ascii="Arial" w:hAnsi="Arial" w:cs="Arial"/>
          <w:sz w:val="24"/>
          <w:szCs w:val="24"/>
          <w:bdr w:val="none" w:sz="0" w:space="0" w:color="auto" w:frame="1"/>
          <w:shd w:val="clear" w:color="auto" w:fill="FFFFFF"/>
        </w:rPr>
        <w:t>principal</w:t>
      </w:r>
      <w:r>
        <w:rPr>
          <w:rFonts w:ascii="Arial" w:hAnsi="Arial" w:cs="Arial"/>
          <w:sz w:val="24"/>
          <w:szCs w:val="24"/>
          <w:bdr w:val="none" w:sz="0" w:space="0" w:color="auto" w:frame="1"/>
          <w:shd w:val="clear" w:color="auto" w:fill="FFFFFF"/>
        </w:rPr>
        <w:t xml:space="preserve"> under the in pari delicto doctrine. </w:t>
      </w:r>
      <w:r w:rsidRPr="00DA7ABD">
        <w:rPr>
          <w:rFonts w:ascii="Arial" w:hAnsi="Arial" w:cs="Arial"/>
          <w:i/>
          <w:iCs/>
          <w:sz w:val="24"/>
          <w:szCs w:val="24"/>
          <w:bdr w:val="none" w:sz="0" w:space="0" w:color="auto" w:frame="1"/>
          <w:shd w:val="clear" w:color="auto" w:fill="FFFFFF"/>
        </w:rPr>
        <w:t xml:space="preserve">See, e.g., </w:t>
      </w:r>
      <w:r w:rsidRPr="00DA7ABD">
        <w:rPr>
          <w:rFonts w:ascii="Arial" w:hAnsi="Arial" w:cs="Arial"/>
          <w:i/>
          <w:iCs/>
          <w:sz w:val="24"/>
          <w:bdr w:val="none" w:sz="0" w:space="0" w:color="auto" w:frame="1"/>
        </w:rPr>
        <w:t>Claybrook v. Broad &amp; Cassel, P.A. (In re Scott Acquisition Corp.)</w:t>
      </w:r>
      <w:r w:rsidRPr="00DA7ABD">
        <w:rPr>
          <w:rFonts w:ascii="Arial" w:hAnsi="Arial" w:cs="Arial"/>
          <w:sz w:val="24"/>
          <w:bdr w:val="none" w:sz="0" w:space="0" w:color="auto" w:frame="1"/>
        </w:rPr>
        <w:t>, 364 B.R. 562, 568 (Bankr. D. Del. 2007)</w:t>
      </w:r>
      <w:r>
        <w:rPr>
          <w:rFonts w:ascii="Arial" w:hAnsi="Arial" w:cs="Arial"/>
          <w:sz w:val="24"/>
          <w:bdr w:val="none" w:sz="0" w:space="0" w:color="auto" w:frame="1"/>
        </w:rPr>
        <w:t>(Delaware bankruptcy, under Florida law.)</w:t>
      </w:r>
    </w:p>
    <w:p w14:paraId="429E3EBA" w14:textId="77777777" w:rsidR="000031AC" w:rsidRPr="001C27C1" w:rsidRDefault="000031AC" w:rsidP="000031AC">
      <w:pPr>
        <w:pStyle w:val="NormalWeb"/>
        <w:spacing w:before="0" w:beforeAutospacing="0" w:after="0" w:afterAutospacing="0"/>
        <w:ind w:left="720" w:right="720"/>
        <w:jc w:val="both"/>
        <w:textAlignment w:val="baseline"/>
        <w:outlineLvl w:val="0"/>
        <w:rPr>
          <w:rFonts w:ascii="Arial" w:hAnsi="Arial" w:cs="Arial"/>
          <w:color w:val="000000"/>
        </w:rPr>
      </w:pPr>
      <w:r w:rsidRPr="001C27C1">
        <w:rPr>
          <w:rStyle w:val="ssrfcpassagedeactivated"/>
          <w:rFonts w:ascii="Arial" w:eastAsiaTheme="majorEastAsia" w:hAnsi="Arial" w:cs="Arial"/>
          <w:color w:val="000000"/>
          <w:bdr w:val="none" w:sz="0" w:space="0" w:color="auto" w:frame="1"/>
        </w:rPr>
        <w:lastRenderedPageBreak/>
        <w:t>the acts of an agent are imputable to the principal when the agent is acting on behalf of the principal rather than in furtherance of the agent's own interests. </w:t>
      </w:r>
      <w:r w:rsidRPr="001C27C1">
        <w:rPr>
          <w:rStyle w:val="ssun"/>
          <w:rFonts w:ascii="Arial" w:hAnsi="Arial" w:cs="Arial"/>
          <w:color w:val="000000"/>
          <w:u w:val="single"/>
          <w:bdr w:val="none" w:sz="0" w:space="0" w:color="auto" w:frame="1"/>
        </w:rPr>
        <w:t>See Gee,</w:t>
      </w:r>
      <w:r w:rsidRPr="001C27C1">
        <w:rPr>
          <w:rStyle w:val="ssrfcsection"/>
          <w:rFonts w:ascii="Arial" w:hAnsi="Arial" w:cs="Arial"/>
          <w:color w:val="000000"/>
          <w:bdr w:val="none" w:sz="0" w:space="0" w:color="auto" w:frame="1"/>
        </w:rPr>
        <w:t> 625 So.2d at 2. Therefore, an </w:t>
      </w:r>
      <w:r w:rsidRPr="001C27C1">
        <w:rPr>
          <w:rStyle w:val="sssh"/>
          <w:rFonts w:ascii="Arial" w:hAnsi="Arial" w:cs="Arial"/>
          <w:color w:val="000000"/>
          <w:bdr w:val="none" w:sz="0" w:space="0" w:color="auto" w:frame="1"/>
        </w:rPr>
        <w:t>in pari delicto</w:t>
      </w:r>
      <w:r w:rsidRPr="001C27C1">
        <w:rPr>
          <w:rStyle w:val="ssrfcsection"/>
          <w:rFonts w:ascii="Arial" w:hAnsi="Arial" w:cs="Arial"/>
          <w:color w:val="000000"/>
          <w:bdr w:val="none" w:sz="0" w:space="0" w:color="auto" w:frame="1"/>
        </w:rPr>
        <w:t> defense that </w:t>
      </w:r>
      <w:r w:rsidRPr="001C27C1">
        <w:rPr>
          <w:rStyle w:val="sssh"/>
          <w:rFonts w:ascii="Arial" w:hAnsi="Arial" w:cs="Arial"/>
          <w:color w:val="000000"/>
          <w:bdr w:val="none" w:sz="0" w:space="0" w:color="auto" w:frame="1"/>
        </w:rPr>
        <w:t>applies</w:t>
      </w:r>
      <w:r w:rsidRPr="001C27C1">
        <w:rPr>
          <w:rStyle w:val="ssrfcsection"/>
          <w:rFonts w:ascii="Arial" w:hAnsi="Arial" w:cs="Arial"/>
          <w:color w:val="000000"/>
          <w:bdr w:val="none" w:sz="0" w:space="0" w:color="auto" w:frame="1"/>
        </w:rPr>
        <w:t> to an </w:t>
      </w:r>
      <w:r w:rsidRPr="001C27C1">
        <w:rPr>
          <w:rStyle w:val="sssh"/>
          <w:rFonts w:ascii="Arial" w:hAnsi="Arial" w:cs="Arial"/>
          <w:color w:val="000000"/>
          <w:bdr w:val="none" w:sz="0" w:space="0" w:color="auto" w:frame="1"/>
        </w:rPr>
        <w:t>agent</w:t>
      </w:r>
      <w:r w:rsidRPr="001C27C1">
        <w:rPr>
          <w:rStyle w:val="ssrfcsection"/>
          <w:rFonts w:ascii="Arial" w:hAnsi="Arial" w:cs="Arial"/>
          <w:color w:val="000000"/>
          <w:bdr w:val="none" w:sz="0" w:space="0" w:color="auto" w:frame="1"/>
        </w:rPr>
        <w:t> may impute to the agent's principal. </w:t>
      </w:r>
      <w:r w:rsidRPr="001C27C1">
        <w:rPr>
          <w:rStyle w:val="ssun"/>
          <w:rFonts w:ascii="Arial" w:hAnsi="Arial" w:cs="Arial"/>
          <w:color w:val="000000"/>
          <w:u w:val="single"/>
          <w:bdr w:val="none" w:sz="0" w:space="0" w:color="auto" w:frame="1"/>
        </w:rPr>
        <w:t>Id.</w:t>
      </w:r>
    </w:p>
    <w:p w14:paraId="4BD92AA7" w14:textId="77777777" w:rsidR="000031AC" w:rsidRPr="001C27C1" w:rsidRDefault="000031AC" w:rsidP="000031AC">
      <w:pPr>
        <w:pStyle w:val="NormalWeb"/>
        <w:spacing w:before="0" w:beforeAutospacing="0" w:after="0" w:afterAutospacing="0"/>
        <w:ind w:left="720" w:right="720" w:firstLine="720"/>
        <w:jc w:val="both"/>
        <w:textAlignment w:val="baseline"/>
        <w:outlineLvl w:val="0"/>
        <w:rPr>
          <w:rStyle w:val="ssrfcpassagedeactivated"/>
          <w:rFonts w:ascii="Arial" w:eastAsiaTheme="majorEastAsia" w:hAnsi="Arial" w:cs="Arial"/>
          <w:color w:val="000000"/>
          <w:bdr w:val="none" w:sz="0" w:space="0" w:color="auto" w:frame="1"/>
        </w:rPr>
      </w:pPr>
      <w:r w:rsidRPr="001C27C1">
        <w:rPr>
          <w:rStyle w:val="ssrfcpassagedeactivated"/>
          <w:rFonts w:ascii="Arial" w:eastAsiaTheme="majorEastAsia" w:hAnsi="Arial" w:cs="Arial"/>
          <w:color w:val="000000"/>
          <w:bdr w:val="none" w:sz="0" w:space="0" w:color="auto" w:frame="1"/>
        </w:rPr>
        <w:t xml:space="preserve">However, under the </w:t>
      </w:r>
      <w:r w:rsidRPr="001C27C1">
        <w:rPr>
          <w:rStyle w:val="ssrfcpassagedeactivated"/>
          <w:rFonts w:ascii="Arial" w:eastAsiaTheme="majorEastAsia" w:hAnsi="Arial" w:cs="Arial"/>
          <w:i/>
          <w:iCs/>
          <w:color w:val="000000"/>
          <w:bdr w:val="none" w:sz="0" w:space="0" w:color="auto" w:frame="1"/>
        </w:rPr>
        <w:t>adverse interest exception to the </w:t>
      </w:r>
      <w:r w:rsidRPr="001C27C1">
        <w:rPr>
          <w:rStyle w:val="sssh"/>
          <w:rFonts w:ascii="Arial" w:hAnsi="Arial" w:cs="Arial"/>
          <w:i/>
          <w:iCs/>
          <w:color w:val="000000"/>
          <w:bdr w:val="none" w:sz="0" w:space="0" w:color="auto" w:frame="1"/>
        </w:rPr>
        <w:t>in pari delicto</w:t>
      </w:r>
      <w:r w:rsidRPr="001C27C1">
        <w:rPr>
          <w:rStyle w:val="ssrfcpassagedeactivated"/>
          <w:rFonts w:ascii="Arial" w:eastAsiaTheme="majorEastAsia" w:hAnsi="Arial" w:cs="Arial"/>
          <w:i/>
          <w:iCs/>
          <w:color w:val="000000"/>
          <w:bdr w:val="none" w:sz="0" w:space="0" w:color="auto" w:frame="1"/>
        </w:rPr>
        <w:t> defense</w:t>
      </w:r>
      <w:r w:rsidRPr="001C27C1">
        <w:rPr>
          <w:rStyle w:val="ssrfcpassagedeactivated"/>
          <w:rFonts w:ascii="Arial" w:eastAsiaTheme="majorEastAsia" w:hAnsi="Arial" w:cs="Arial"/>
          <w:color w:val="000000"/>
          <w:bdr w:val="none" w:sz="0" w:space="0" w:color="auto" w:frame="1"/>
        </w:rPr>
        <w:t>, the wrongful acts of an agent are not imputed to the agent's principal when the agent's actions are adverse to the principal's interests. </w:t>
      </w:r>
      <w:r w:rsidRPr="001C27C1">
        <w:rPr>
          <w:rStyle w:val="ssun"/>
          <w:rFonts w:ascii="Arial" w:hAnsi="Arial" w:cs="Arial"/>
          <w:color w:val="000000"/>
          <w:u w:val="single"/>
          <w:bdr w:val="none" w:sz="0" w:space="0" w:color="auto" w:frame="1"/>
        </w:rPr>
        <w:t>Id.</w:t>
      </w:r>
      <w:r w:rsidRPr="001C27C1">
        <w:rPr>
          <w:rStyle w:val="ssrfcsection"/>
          <w:rFonts w:ascii="Arial" w:hAnsi="Arial" w:cs="Arial"/>
          <w:color w:val="000000"/>
          <w:bdr w:val="none" w:sz="0" w:space="0" w:color="auto" w:frame="1"/>
        </w:rPr>
        <w:t> at 2-3; </w:t>
      </w:r>
      <w:r w:rsidRPr="001C27C1">
        <w:rPr>
          <w:rStyle w:val="ssun"/>
          <w:rFonts w:ascii="Arial" w:hAnsi="Arial" w:cs="Arial"/>
          <w:color w:val="000000"/>
          <w:u w:val="single"/>
          <w:bdr w:val="none" w:sz="0" w:space="0" w:color="auto" w:frame="1"/>
        </w:rPr>
        <w:t>Wight v. BankAmerica Corp.,</w:t>
      </w:r>
      <w:r w:rsidRPr="001C27C1">
        <w:rPr>
          <w:rStyle w:val="ssrfcsection"/>
          <w:rFonts w:ascii="Arial" w:hAnsi="Arial" w:cs="Arial"/>
          <w:color w:val="000000"/>
          <w:bdr w:val="none" w:sz="0" w:space="0" w:color="auto" w:frame="1"/>
        </w:rPr>
        <w:t> 219 F.3d 79, 87 (2d Cir. 2000). This exception is only applicable when the agent is acting entirely adverse to the principal, and the principal is in no way benefitting from the agent's actions. </w:t>
      </w:r>
      <w:r w:rsidRPr="001C27C1">
        <w:rPr>
          <w:rStyle w:val="ssun"/>
          <w:rFonts w:ascii="Arial" w:hAnsi="Arial" w:cs="Arial"/>
          <w:color w:val="000000"/>
          <w:u w:val="single"/>
          <w:bdr w:val="none" w:sz="0" w:space="0" w:color="auto" w:frame="1"/>
        </w:rPr>
        <w:t>Beck,</w:t>
      </w:r>
      <w:r w:rsidRPr="001C27C1">
        <w:rPr>
          <w:rStyle w:val="ssrfcpassagedeactivated"/>
          <w:rFonts w:ascii="Arial" w:eastAsiaTheme="majorEastAsia" w:hAnsi="Arial" w:cs="Arial"/>
          <w:color w:val="000000"/>
          <w:bdr w:val="none" w:sz="0" w:space="0" w:color="auto" w:frame="1"/>
        </w:rPr>
        <w:t> 144 F.3d at 736. . . .(Emphasis added.)</w:t>
      </w:r>
    </w:p>
    <w:p w14:paraId="654634A3" w14:textId="77777777" w:rsidR="000031AC" w:rsidRDefault="000031AC" w:rsidP="000031AC">
      <w:pPr>
        <w:pStyle w:val="NormalWeb"/>
        <w:spacing w:before="0" w:beforeAutospacing="0" w:after="0" w:afterAutospacing="0"/>
        <w:ind w:left="720" w:right="720" w:firstLine="720"/>
        <w:jc w:val="both"/>
        <w:textAlignment w:val="baseline"/>
        <w:outlineLvl w:val="0"/>
        <w:rPr>
          <w:rStyle w:val="ssrfcpassagedeactivated"/>
          <w:rFonts w:eastAsiaTheme="majorEastAsia" w:cs="Arial"/>
          <w:color w:val="000000"/>
          <w:bdr w:val="none" w:sz="0" w:space="0" w:color="auto" w:frame="1"/>
        </w:rPr>
      </w:pPr>
    </w:p>
    <w:p w14:paraId="515E479A" w14:textId="4622EF2E" w:rsidR="000031AC" w:rsidRPr="00F07BA7" w:rsidRDefault="000031AC" w:rsidP="000031AC">
      <w:pPr>
        <w:pStyle w:val="NormalWeb"/>
        <w:spacing w:before="0" w:beforeAutospacing="0" w:after="0" w:afterAutospacing="0" w:line="480" w:lineRule="auto"/>
        <w:jc w:val="both"/>
        <w:textAlignment w:val="baseline"/>
        <w:outlineLvl w:val="0"/>
        <w:rPr>
          <w:rFonts w:ascii="Arial" w:hAnsi="Arial" w:cs="Arial"/>
          <w:color w:val="000000"/>
        </w:rPr>
      </w:pPr>
      <w:r w:rsidRPr="00F07BA7">
        <w:rPr>
          <w:rFonts w:ascii="Arial" w:hAnsi="Arial" w:cs="Arial"/>
          <w:i/>
          <w:iCs/>
          <w:color w:val="000000"/>
        </w:rPr>
        <w:t xml:space="preserve">See also, </w:t>
      </w:r>
      <w:r w:rsidRPr="00F07BA7">
        <w:rPr>
          <w:rFonts w:ascii="Arial" w:hAnsi="Arial" w:cs="Arial"/>
          <w:i/>
          <w:iCs/>
          <w:bdr w:val="none" w:sz="0" w:space="0" w:color="auto" w:frame="1"/>
        </w:rPr>
        <w:t>Liquidating Tr. of App Fuels Creditors Tr. v. Energy Coal Res., Inc. (In re Appalachian Fuels, LLC</w:t>
      </w:r>
      <w:r w:rsidRPr="00F07BA7">
        <w:rPr>
          <w:rFonts w:ascii="Arial" w:hAnsi="Arial" w:cs="Arial"/>
          <w:bdr w:val="none" w:sz="0" w:space="0" w:color="auto" w:frame="1"/>
        </w:rPr>
        <w:t>), Nos. 09-10343, 11-1041, 2012 Bankr. LEXIS 4291, at *11 (Bankr. E.D. Ky. Sep. 14, 2012)(“</w:t>
      </w:r>
      <w:r w:rsidRPr="00F07BA7">
        <w:rPr>
          <w:rFonts w:ascii="Arial" w:hAnsi="Arial" w:cs="Arial"/>
          <w:color w:val="000000"/>
        </w:rPr>
        <w:t>if the </w:t>
      </w:r>
      <w:r w:rsidRPr="00F07BA7">
        <w:rPr>
          <w:rStyle w:val="sssh"/>
          <w:rFonts w:ascii="Arial" w:hAnsi="Arial" w:cs="Arial"/>
          <w:color w:val="000000"/>
          <w:bdr w:val="none" w:sz="0" w:space="0" w:color="auto" w:frame="1"/>
        </w:rPr>
        <w:t>agent</w:t>
      </w:r>
      <w:r w:rsidRPr="00F07BA7">
        <w:rPr>
          <w:rFonts w:ascii="Arial" w:hAnsi="Arial" w:cs="Arial"/>
          <w:color w:val="000000"/>
        </w:rPr>
        <w:t> was acting adversely to the interests of its principal, then the agent's bad acts are not imputed to the principal.</w:t>
      </w:r>
      <w:r>
        <w:rPr>
          <w:rFonts w:ascii="Arial" w:hAnsi="Arial" w:cs="Arial"/>
          <w:color w:val="000000"/>
        </w:rPr>
        <w:t>”</w:t>
      </w:r>
      <w:r w:rsidRPr="00F07BA7">
        <w:rPr>
          <w:rFonts w:ascii="Arial" w:hAnsi="Arial" w:cs="Arial"/>
          <w:color w:val="000000"/>
        </w:rPr>
        <w:t xml:space="preserve"> If an adverse interest exception is present, the </w:t>
      </w:r>
      <w:r w:rsidRPr="00F07BA7">
        <w:rPr>
          <w:rStyle w:val="ssit"/>
          <w:rFonts w:ascii="Arial" w:hAnsi="Arial" w:cs="Arial"/>
          <w:i/>
          <w:iCs/>
          <w:color w:val="000000"/>
          <w:bdr w:val="none" w:sz="0" w:space="0" w:color="auto" w:frame="1"/>
        </w:rPr>
        <w:t>in pari delicto</w:t>
      </w:r>
      <w:r w:rsidRPr="00F07BA7">
        <w:rPr>
          <w:rFonts w:ascii="Arial" w:hAnsi="Arial" w:cs="Arial"/>
          <w:color w:val="000000"/>
        </w:rPr>
        <w:t> defense will not lie.</w:t>
      </w:r>
      <w:r>
        <w:rPr>
          <w:rFonts w:ascii="Arial" w:hAnsi="Arial" w:cs="Arial"/>
          <w:color w:val="000000"/>
        </w:rPr>
        <w:t>) Absolutely nothing suggests Isam was acting against Manal’s interests</w:t>
      </w:r>
      <w:r w:rsidR="00322299">
        <w:rPr>
          <w:rFonts w:ascii="Arial" w:hAnsi="Arial" w:cs="Arial"/>
          <w:color w:val="000000"/>
        </w:rPr>
        <w:t>, but, again, that is an issue of fact for later.</w:t>
      </w:r>
    </w:p>
    <w:p w14:paraId="28EDB87D" w14:textId="358E7D00" w:rsidR="000031AC" w:rsidRDefault="000031AC" w:rsidP="000A7D63">
      <w:pPr>
        <w:ind w:firstLine="720"/>
        <w:jc w:val="both"/>
        <w:outlineLvl w:val="0"/>
        <w:rPr>
          <w:rFonts w:cs="Arial"/>
          <w:bdr w:val="none" w:sz="0" w:space="0" w:color="auto" w:frame="1"/>
          <w:shd w:val="clear" w:color="auto" w:fill="FFFFFF"/>
        </w:rPr>
      </w:pPr>
      <w:r w:rsidRPr="00C27813">
        <w:rPr>
          <w:rFonts w:cs="Arial"/>
          <w:bdr w:val="none" w:sz="0" w:space="0" w:color="auto" w:frame="1"/>
          <w:shd w:val="clear" w:color="auto" w:fill="FFFFFF"/>
        </w:rPr>
        <w:t>The best rule for the USVI</w:t>
      </w:r>
    </w:p>
    <w:p w14:paraId="365E3C8C" w14:textId="77777777" w:rsidR="000A7D63" w:rsidRPr="000A7D63" w:rsidRDefault="000A7D63" w:rsidP="000A7D63">
      <w:pPr>
        <w:ind w:firstLine="720"/>
        <w:jc w:val="both"/>
        <w:outlineLvl w:val="0"/>
        <w:rPr>
          <w:rFonts w:cs="Arial"/>
          <w:sz w:val="16"/>
          <w:szCs w:val="16"/>
          <w:bdr w:val="none" w:sz="0" w:space="0" w:color="auto" w:frame="1"/>
          <w:shd w:val="clear" w:color="auto" w:fill="FFFFFF"/>
        </w:rPr>
      </w:pPr>
    </w:p>
    <w:p w14:paraId="098B0ED0" w14:textId="5FBFCA2B" w:rsidR="000031AC" w:rsidRDefault="000031AC" w:rsidP="000031AC">
      <w:pPr>
        <w:spacing w:line="480" w:lineRule="auto"/>
        <w:jc w:val="both"/>
        <w:outlineLvl w:val="0"/>
        <w:rPr>
          <w:rFonts w:cs="Arial"/>
          <w:bdr w:val="none" w:sz="0" w:space="0" w:color="auto" w:frame="1"/>
          <w:shd w:val="clear" w:color="auto" w:fill="FFFFFF"/>
        </w:rPr>
      </w:pPr>
      <w:r w:rsidRPr="00C27813">
        <w:rPr>
          <w:rFonts w:cs="Arial"/>
          <w:bdr w:val="none" w:sz="0" w:space="0" w:color="auto" w:frame="1"/>
          <w:shd w:val="clear" w:color="auto" w:fill="FFFFFF"/>
        </w:rPr>
        <w:tab/>
        <w:t xml:space="preserve">Clearly the doctrine must be recognized. It is vastly accepted; </w:t>
      </w:r>
      <w:r w:rsidR="00322299">
        <w:rPr>
          <w:rFonts w:cs="Arial"/>
          <w:bdr w:val="none" w:sz="0" w:space="0" w:color="auto" w:frame="1"/>
          <w:shd w:val="clear" w:color="auto" w:fill="FFFFFF"/>
        </w:rPr>
        <w:t xml:space="preserve">and (excusing the pun) </w:t>
      </w:r>
      <w:r w:rsidRPr="00C27813">
        <w:rPr>
          <w:rFonts w:cs="Arial"/>
          <w:bdr w:val="none" w:sz="0" w:space="0" w:color="auto" w:frame="1"/>
          <w:shd w:val="clear" w:color="auto" w:fill="FFFFFF"/>
        </w:rPr>
        <w:t>it is the equitable thing</w:t>
      </w:r>
      <w:r w:rsidR="00FF15F9">
        <w:rPr>
          <w:rFonts w:cs="Arial"/>
          <w:bdr w:val="none" w:sz="0" w:space="0" w:color="auto" w:frame="1"/>
          <w:shd w:val="clear" w:color="auto" w:fill="FFFFFF"/>
        </w:rPr>
        <w:t xml:space="preserve"> to </w:t>
      </w:r>
      <w:r w:rsidR="00322299">
        <w:rPr>
          <w:rFonts w:cs="Arial"/>
          <w:bdr w:val="none" w:sz="0" w:space="0" w:color="auto" w:frame="1"/>
          <w:shd w:val="clear" w:color="auto" w:fill="FFFFFF"/>
        </w:rPr>
        <w:t>do</w:t>
      </w:r>
      <w:r w:rsidR="00FF15F9">
        <w:rPr>
          <w:rFonts w:cs="Arial"/>
          <w:bdr w:val="none" w:sz="0" w:space="0" w:color="auto" w:frame="1"/>
          <w:shd w:val="clear" w:color="auto" w:fill="FFFFFF"/>
        </w:rPr>
        <w:t xml:space="preserve"> here</w:t>
      </w:r>
      <w:r w:rsidRPr="00C27813">
        <w:rPr>
          <w:rFonts w:cs="Arial"/>
          <w:bdr w:val="none" w:sz="0" w:space="0" w:color="auto" w:frame="1"/>
          <w:shd w:val="clear" w:color="auto" w:fill="FFFFFF"/>
        </w:rPr>
        <w:t xml:space="preserve">—and it removes the Court from the illegal bargain. </w:t>
      </w:r>
      <w:r w:rsidR="00322299" w:rsidRPr="00322299">
        <w:rPr>
          <w:rFonts w:cs="Arial"/>
          <w:i/>
          <w:iCs/>
          <w:bdr w:val="none" w:sz="0" w:space="0" w:color="auto" w:frame="1"/>
          <w:shd w:val="clear" w:color="auto" w:fill="FFFFFF"/>
        </w:rPr>
        <w:t>In pari delicto</w:t>
      </w:r>
      <w:r w:rsidRPr="00C27813">
        <w:rPr>
          <w:rFonts w:cs="Arial"/>
          <w:bdr w:val="none" w:sz="0" w:space="0" w:color="auto" w:frame="1"/>
          <w:shd w:val="clear" w:color="auto" w:fill="FFFFFF"/>
        </w:rPr>
        <w:t xml:space="preserve"> is as close to black letter law as any equitable doctrine can be </w:t>
      </w:r>
      <w:r w:rsidR="00322299">
        <w:rPr>
          <w:rFonts w:cs="Arial"/>
          <w:bdr w:val="none" w:sz="0" w:space="0" w:color="auto" w:frame="1"/>
          <w:shd w:val="clear" w:color="auto" w:fill="FFFFFF"/>
        </w:rPr>
        <w:t>nowadays.</w:t>
      </w:r>
    </w:p>
    <w:p w14:paraId="0028D81D" w14:textId="7905311F" w:rsidR="002E1AF8" w:rsidRDefault="002E1AF8" w:rsidP="002E1AF8">
      <w:pPr>
        <w:pStyle w:val="BodyText"/>
        <w:widowControl/>
        <w:numPr>
          <w:ilvl w:val="0"/>
          <w:numId w:val="14"/>
        </w:numPr>
        <w:jc w:val="both"/>
        <w:outlineLvl w:val="0"/>
        <w:rPr>
          <w:b/>
          <w:bCs/>
        </w:rPr>
      </w:pPr>
      <w:r w:rsidRPr="002E1AF8">
        <w:rPr>
          <w:b/>
          <w:bCs/>
        </w:rPr>
        <w:t xml:space="preserve">Points in </w:t>
      </w:r>
      <w:r w:rsidR="008A471F">
        <w:rPr>
          <w:b/>
          <w:bCs/>
        </w:rPr>
        <w:t>Hamed’s</w:t>
      </w:r>
      <w:r w:rsidRPr="002E1AF8">
        <w:rPr>
          <w:b/>
          <w:bCs/>
        </w:rPr>
        <w:t xml:space="preserve"> motion which remain unaddressed—and the </w:t>
      </w:r>
      <w:r w:rsidR="008A471F">
        <w:rPr>
          <w:b/>
          <w:bCs/>
        </w:rPr>
        <w:t>effect</w:t>
      </w:r>
      <w:r w:rsidRPr="002E1AF8">
        <w:rPr>
          <w:b/>
          <w:bCs/>
        </w:rPr>
        <w:t xml:space="preserve"> of </w:t>
      </w:r>
      <w:r w:rsidR="008A471F">
        <w:rPr>
          <w:b/>
          <w:bCs/>
        </w:rPr>
        <w:t>Isam’s</w:t>
      </w:r>
      <w:r w:rsidRPr="002E1AF8">
        <w:rPr>
          <w:b/>
          <w:bCs/>
        </w:rPr>
        <w:t xml:space="preserve"> failure to respond</w:t>
      </w:r>
    </w:p>
    <w:p w14:paraId="7CB0CF6F" w14:textId="77777777" w:rsidR="002E1AF8" w:rsidRPr="002E1AF8" w:rsidRDefault="002E1AF8" w:rsidP="002E1AF8">
      <w:pPr>
        <w:pStyle w:val="BodyText"/>
        <w:widowControl/>
        <w:ind w:left="1080"/>
        <w:jc w:val="both"/>
        <w:outlineLvl w:val="0"/>
        <w:rPr>
          <w:b/>
          <w:bCs/>
        </w:rPr>
      </w:pPr>
    </w:p>
    <w:p w14:paraId="4141EEEE" w14:textId="268EDDE0" w:rsidR="002E1AF8" w:rsidRDefault="002E1AF8" w:rsidP="002E1AF8">
      <w:pPr>
        <w:pStyle w:val="BodyText"/>
        <w:widowControl/>
        <w:spacing w:line="480" w:lineRule="auto"/>
        <w:ind w:firstLine="720"/>
        <w:jc w:val="both"/>
        <w:outlineLvl w:val="0"/>
      </w:pPr>
      <w:r>
        <w:t xml:space="preserve">For the most part, Isam ignores the </w:t>
      </w:r>
      <w:r w:rsidR="0060640A">
        <w:t xml:space="preserve">content of Hamed’s </w:t>
      </w:r>
      <w:r>
        <w:t xml:space="preserve">motion. Thus, </w:t>
      </w:r>
      <w:r w:rsidR="0060640A">
        <w:t>Isam</w:t>
      </w:r>
      <w:r>
        <w:t xml:space="preserve"> does not address the following</w:t>
      </w:r>
      <w:r w:rsidR="00625071">
        <w:t xml:space="preserve"> </w:t>
      </w:r>
      <w:r w:rsidR="00E6323B">
        <w:t>factual and legal assertions</w:t>
      </w:r>
      <w:r>
        <w:t>:</w:t>
      </w:r>
    </w:p>
    <w:p w14:paraId="1B8B2BEA" w14:textId="51E2ABBF" w:rsidR="002E1AF8" w:rsidRDefault="002E1AF8" w:rsidP="0060640A">
      <w:pPr>
        <w:pStyle w:val="BodyText"/>
        <w:widowControl/>
        <w:numPr>
          <w:ilvl w:val="0"/>
          <w:numId w:val="23"/>
        </w:numPr>
        <w:jc w:val="both"/>
        <w:outlineLvl w:val="0"/>
      </w:pPr>
      <w:r>
        <w:t>At page 1:</w:t>
      </w:r>
    </w:p>
    <w:p w14:paraId="7FE3A243" w14:textId="77777777" w:rsidR="0060640A" w:rsidRPr="000A7D63" w:rsidRDefault="0060640A" w:rsidP="0060640A">
      <w:pPr>
        <w:pStyle w:val="BodyText"/>
        <w:widowControl/>
        <w:ind w:left="1080"/>
        <w:jc w:val="both"/>
        <w:outlineLvl w:val="0"/>
        <w:rPr>
          <w:sz w:val="8"/>
          <w:szCs w:val="8"/>
        </w:rPr>
      </w:pPr>
    </w:p>
    <w:p w14:paraId="31D5E2F3" w14:textId="5AAADF69" w:rsidR="002E1AF8" w:rsidRDefault="002E1AF8" w:rsidP="00B82634">
      <w:pPr>
        <w:pStyle w:val="BodyText"/>
        <w:widowControl/>
        <w:numPr>
          <w:ilvl w:val="0"/>
          <w:numId w:val="24"/>
        </w:numPr>
        <w:spacing w:after="120"/>
        <w:jc w:val="both"/>
        <w:outlineLvl w:val="0"/>
      </w:pPr>
      <w:r>
        <w:t>Isam Yousuf is an American citizen.</w:t>
      </w:r>
    </w:p>
    <w:p w14:paraId="73929EE6" w14:textId="481B6E73" w:rsidR="002E1AF8" w:rsidRDefault="002E1AF8" w:rsidP="00B82634">
      <w:pPr>
        <w:pStyle w:val="BodyText"/>
        <w:widowControl/>
        <w:numPr>
          <w:ilvl w:val="0"/>
          <w:numId w:val="24"/>
        </w:numPr>
        <w:spacing w:after="120"/>
        <w:jc w:val="both"/>
        <w:outlineLvl w:val="0"/>
      </w:pPr>
      <w:r>
        <w:t xml:space="preserve">The records at issue are </w:t>
      </w:r>
      <w:r w:rsidR="00625071" w:rsidRPr="00625071">
        <w:rPr>
          <w:i/>
          <w:iCs/>
        </w:rPr>
        <w:t>solely</w:t>
      </w:r>
      <w:r w:rsidR="00625071">
        <w:t xml:space="preserve"> </w:t>
      </w:r>
      <w:r>
        <w:t xml:space="preserve">his own banking statements </w:t>
      </w:r>
      <w:r w:rsidR="00625071">
        <w:t xml:space="preserve">and records </w:t>
      </w:r>
      <w:r>
        <w:t xml:space="preserve">for accounts </w:t>
      </w:r>
      <w:r w:rsidRPr="00625071">
        <w:rPr>
          <w:i/>
          <w:iCs/>
          <w:u w:val="single"/>
        </w:rPr>
        <w:t xml:space="preserve">titled </w:t>
      </w:r>
      <w:r w:rsidR="00625071">
        <w:rPr>
          <w:i/>
          <w:iCs/>
          <w:u w:val="single"/>
        </w:rPr>
        <w:t xml:space="preserve">only </w:t>
      </w:r>
      <w:r w:rsidRPr="00A27451">
        <w:rPr>
          <w:i/>
          <w:iCs/>
          <w:u w:val="single"/>
        </w:rPr>
        <w:t>in his name</w:t>
      </w:r>
      <w:r>
        <w:t xml:space="preserve">, including those at the Banque Francaise Commerciale (“BFC”) on the island of St. Martin (French). </w:t>
      </w:r>
    </w:p>
    <w:p w14:paraId="45BF57E4" w14:textId="11B1C1DC" w:rsidR="002E1AF8" w:rsidRDefault="002E1AF8" w:rsidP="002E1AF8">
      <w:pPr>
        <w:pStyle w:val="BodyText"/>
        <w:widowControl/>
        <w:numPr>
          <w:ilvl w:val="0"/>
          <w:numId w:val="24"/>
        </w:numPr>
        <w:jc w:val="both"/>
        <w:outlineLvl w:val="0"/>
      </w:pPr>
      <w:r>
        <w:t>These accounts are central to this action</w:t>
      </w:r>
      <w:r w:rsidR="00A27451">
        <w:t>.</w:t>
      </w:r>
    </w:p>
    <w:p w14:paraId="3BFA873E" w14:textId="77777777" w:rsidR="002E1AF8" w:rsidRDefault="002E1AF8" w:rsidP="002E1AF8">
      <w:pPr>
        <w:pStyle w:val="BodyText"/>
        <w:widowControl/>
        <w:ind w:left="1440"/>
        <w:jc w:val="both"/>
        <w:outlineLvl w:val="0"/>
      </w:pPr>
    </w:p>
    <w:p w14:paraId="261622F6" w14:textId="5486DCC8" w:rsidR="002E1AF8" w:rsidRDefault="002E1AF8" w:rsidP="0060640A">
      <w:pPr>
        <w:pStyle w:val="BodyText"/>
        <w:widowControl/>
        <w:numPr>
          <w:ilvl w:val="0"/>
          <w:numId w:val="23"/>
        </w:numPr>
        <w:jc w:val="both"/>
        <w:outlineLvl w:val="0"/>
      </w:pPr>
      <w:r>
        <w:t>At page 2:</w:t>
      </w:r>
    </w:p>
    <w:p w14:paraId="54D0BB6C" w14:textId="77777777" w:rsidR="0060640A" w:rsidRPr="000A7D63" w:rsidRDefault="0060640A" w:rsidP="0060640A">
      <w:pPr>
        <w:pStyle w:val="BodyText"/>
        <w:widowControl/>
        <w:ind w:left="1080"/>
        <w:jc w:val="both"/>
        <w:outlineLvl w:val="0"/>
        <w:rPr>
          <w:sz w:val="8"/>
          <w:szCs w:val="8"/>
        </w:rPr>
      </w:pPr>
    </w:p>
    <w:p w14:paraId="60943CB5" w14:textId="6BAAE039" w:rsidR="002E1AF8" w:rsidRDefault="002E1AF8" w:rsidP="008B11F9">
      <w:pPr>
        <w:pStyle w:val="BodyText"/>
        <w:widowControl/>
        <w:numPr>
          <w:ilvl w:val="0"/>
          <w:numId w:val="25"/>
        </w:numPr>
        <w:spacing w:after="120"/>
        <w:jc w:val="both"/>
        <w:outlineLvl w:val="0"/>
      </w:pPr>
      <w:r>
        <w:t>The accounts were the source of the alleged loan from Isam’s sister</w:t>
      </w:r>
      <w:r w:rsidR="00FF15F9">
        <w:t>, Manal.</w:t>
      </w:r>
    </w:p>
    <w:p w14:paraId="6B954EC8" w14:textId="312A9FD0" w:rsidR="002E1AF8" w:rsidRDefault="002E1AF8" w:rsidP="008B11F9">
      <w:pPr>
        <w:pStyle w:val="BodyText"/>
        <w:widowControl/>
        <w:numPr>
          <w:ilvl w:val="0"/>
          <w:numId w:val="25"/>
        </w:numPr>
        <w:spacing w:after="120"/>
        <w:jc w:val="both"/>
        <w:outlineLvl w:val="0"/>
      </w:pPr>
      <w:r>
        <w:t xml:space="preserve">Isam repeatedly references these accounts and relies on assertions about the source of funds in his bank accounts </w:t>
      </w:r>
      <w:r w:rsidR="00FF15F9">
        <w:t xml:space="preserve">in </w:t>
      </w:r>
      <w:r>
        <w:t>his defense.</w:t>
      </w:r>
    </w:p>
    <w:p w14:paraId="687CDC69" w14:textId="12478DB8" w:rsidR="002E1AF8" w:rsidRDefault="002E1AF8" w:rsidP="00A27451">
      <w:pPr>
        <w:pStyle w:val="BodyText"/>
        <w:widowControl/>
        <w:numPr>
          <w:ilvl w:val="0"/>
          <w:numId w:val="25"/>
        </w:numPr>
        <w:jc w:val="both"/>
        <w:outlineLvl w:val="0"/>
      </w:pPr>
      <w:r>
        <w:t>Isam, through counsel, has expressly refused to identify all his accounts.</w:t>
      </w:r>
    </w:p>
    <w:p w14:paraId="43645EF8" w14:textId="49495706" w:rsidR="00BF691D" w:rsidRDefault="00BF691D" w:rsidP="0060640A">
      <w:pPr>
        <w:pStyle w:val="BodyText"/>
        <w:widowControl/>
        <w:numPr>
          <w:ilvl w:val="0"/>
          <w:numId w:val="23"/>
        </w:numPr>
        <w:jc w:val="both"/>
        <w:outlineLvl w:val="0"/>
      </w:pPr>
      <w:r>
        <w:lastRenderedPageBreak/>
        <w:t>At page 3:</w:t>
      </w:r>
    </w:p>
    <w:p w14:paraId="1D9C6CC7" w14:textId="1505E1D7" w:rsidR="00BF691D" w:rsidRPr="000A7D63" w:rsidRDefault="00BF691D" w:rsidP="00BF691D">
      <w:pPr>
        <w:pStyle w:val="BodyText"/>
        <w:widowControl/>
        <w:jc w:val="both"/>
        <w:outlineLvl w:val="0"/>
        <w:rPr>
          <w:sz w:val="8"/>
          <w:szCs w:val="8"/>
        </w:rPr>
      </w:pPr>
    </w:p>
    <w:p w14:paraId="1DB5BCE4" w14:textId="5E14779A" w:rsidR="00BF691D" w:rsidRDefault="00BF691D" w:rsidP="008B11F9">
      <w:pPr>
        <w:pStyle w:val="BodyText"/>
        <w:widowControl/>
        <w:numPr>
          <w:ilvl w:val="0"/>
          <w:numId w:val="27"/>
        </w:numPr>
        <w:spacing w:after="120"/>
        <w:jc w:val="both"/>
        <w:outlineLvl w:val="0"/>
      </w:pPr>
      <w:r>
        <w:t>Isam has refuse</w:t>
      </w:r>
      <w:r w:rsidR="00A27451">
        <w:t>d</w:t>
      </w:r>
      <w:r>
        <w:t xml:space="preserve"> to provide documents in response to Interrogatory 1.</w:t>
      </w:r>
    </w:p>
    <w:p w14:paraId="3E7C37F8" w14:textId="74F0826E" w:rsidR="00BF691D" w:rsidRDefault="004014A7" w:rsidP="00BF691D">
      <w:pPr>
        <w:pStyle w:val="BodyText"/>
        <w:widowControl/>
        <w:numPr>
          <w:ilvl w:val="0"/>
          <w:numId w:val="27"/>
        </w:numPr>
        <w:jc w:val="both"/>
        <w:outlineLvl w:val="0"/>
      </w:pPr>
      <w:r>
        <w:t>C</w:t>
      </w:r>
      <w:r w:rsidR="00BF691D">
        <w:t xml:space="preserve">ounsel stated </w:t>
      </w:r>
      <w:r w:rsidR="004A4798">
        <w:t>Isam</w:t>
      </w:r>
      <w:r w:rsidR="00BF691D">
        <w:t xml:space="preserve"> would not provide</w:t>
      </w:r>
      <w:r>
        <w:t>:</w:t>
      </w:r>
      <w:r w:rsidR="00BF691D">
        <w:t xml:space="preserve"> “A description of the rate of pay of Isam, and his percentage of stock ownership in Island Appliances”</w:t>
      </w:r>
    </w:p>
    <w:p w14:paraId="1EA8584B" w14:textId="3520AE13" w:rsidR="000A7D63" w:rsidRPr="008B11F9" w:rsidRDefault="000A7D63">
      <w:pPr>
        <w:rPr>
          <w:rFonts w:eastAsia="Arial" w:cs="Arial"/>
          <w:sz w:val="12"/>
          <w:szCs w:val="12"/>
        </w:rPr>
      </w:pPr>
    </w:p>
    <w:p w14:paraId="309611A4" w14:textId="5A7E9FE9" w:rsidR="00BF691D" w:rsidRDefault="00BF691D" w:rsidP="00BF691D">
      <w:pPr>
        <w:pStyle w:val="BodyText"/>
        <w:widowControl/>
        <w:numPr>
          <w:ilvl w:val="0"/>
          <w:numId w:val="23"/>
        </w:numPr>
        <w:jc w:val="both"/>
        <w:outlineLvl w:val="0"/>
      </w:pPr>
      <w:r>
        <w:t>At pages 4-</w:t>
      </w:r>
      <w:r w:rsidR="00E47232">
        <w:t>7</w:t>
      </w:r>
    </w:p>
    <w:p w14:paraId="2C9AEE82" w14:textId="77777777" w:rsidR="00BF691D" w:rsidRPr="000A7D63" w:rsidRDefault="00BF691D" w:rsidP="00BF691D">
      <w:pPr>
        <w:pStyle w:val="BodyText"/>
        <w:widowControl/>
        <w:ind w:left="1080"/>
        <w:jc w:val="both"/>
        <w:outlineLvl w:val="0"/>
        <w:rPr>
          <w:sz w:val="8"/>
          <w:szCs w:val="8"/>
        </w:rPr>
      </w:pPr>
    </w:p>
    <w:p w14:paraId="76916969" w14:textId="52A6023E" w:rsidR="00BF691D" w:rsidRDefault="00BF691D" w:rsidP="008B11F9">
      <w:pPr>
        <w:pStyle w:val="BodyText"/>
        <w:widowControl/>
        <w:numPr>
          <w:ilvl w:val="0"/>
          <w:numId w:val="28"/>
        </w:numPr>
        <w:spacing w:after="120"/>
        <w:jc w:val="both"/>
        <w:outlineLvl w:val="0"/>
      </w:pPr>
      <w:r>
        <w:t>Isam will not “list all financial accounts</w:t>
      </w:r>
      <w:r w:rsidR="004014A7">
        <w:t>. . .</w:t>
      </w:r>
      <w:r>
        <w:t xml:space="preserve">that are fully or partially in </w:t>
      </w:r>
      <w:r w:rsidR="004014A7">
        <w:t xml:space="preserve">[his] </w:t>
      </w:r>
      <w:r>
        <w:t xml:space="preserve">name in any corporation, partnership, or business association in which </w:t>
      </w:r>
      <w:r w:rsidR="004014A7">
        <w:t>[he]</w:t>
      </w:r>
      <w:r>
        <w:t xml:space="preserve"> own</w:t>
      </w:r>
      <w:r w:rsidR="004014A7">
        <w:t>s</w:t>
      </w:r>
      <w:r>
        <w:t xml:space="preserve"> more than 5% interest, or as to which </w:t>
      </w:r>
      <w:r w:rsidR="004014A7">
        <w:t>[he is]</w:t>
      </w:r>
      <w:r>
        <w:t xml:space="preserve"> a beneficiary</w:t>
      </w:r>
      <w:r w:rsidR="004014A7">
        <w:t>--</w:t>
      </w:r>
      <w:r>
        <w:t xml:space="preserve"> from January 11 1995 through December 31, 2000.</w:t>
      </w:r>
    </w:p>
    <w:p w14:paraId="594FAF90" w14:textId="53FD9F18" w:rsidR="00BF691D" w:rsidRDefault="00BF691D" w:rsidP="008B11F9">
      <w:pPr>
        <w:pStyle w:val="BodyText"/>
        <w:widowControl/>
        <w:numPr>
          <w:ilvl w:val="0"/>
          <w:numId w:val="28"/>
        </w:numPr>
        <w:spacing w:after="120"/>
        <w:jc w:val="both"/>
        <w:outlineLvl w:val="0"/>
      </w:pPr>
      <w:r>
        <w:t xml:space="preserve">Other documents (all provided to Attorney Hymes as part of the negotiations to identify the accounts and obtain statements) show Isam Yousuf had </w:t>
      </w:r>
      <w:r w:rsidRPr="004014A7">
        <w:rPr>
          <w:i/>
          <w:iCs/>
          <w:u w:val="single"/>
        </w:rPr>
        <w:t>many</w:t>
      </w:r>
      <w:r>
        <w:t xml:space="preserve"> more accounts which he did not disclose. He had the two 1995 BFC accounts mentioned. It is also clear from those documents that he had a major account in Amman</w:t>
      </w:r>
      <w:r w:rsidR="004014A7">
        <w:rPr>
          <w:rStyle w:val="FootnoteReference"/>
        </w:rPr>
        <w:footnoteReference w:id="16"/>
      </w:r>
      <w:r>
        <w:t xml:space="preserve"> through which he transferred millions.</w:t>
      </w:r>
    </w:p>
    <w:p w14:paraId="0A44B8AF" w14:textId="2B8A4AAE" w:rsidR="00082BBC" w:rsidRDefault="00BF691D" w:rsidP="008B11F9">
      <w:pPr>
        <w:pStyle w:val="BodyText"/>
        <w:widowControl/>
        <w:numPr>
          <w:ilvl w:val="0"/>
          <w:numId w:val="28"/>
        </w:numPr>
        <w:spacing w:after="120"/>
        <w:ind w:right="115"/>
        <w:jc w:val="both"/>
        <w:outlineLvl w:val="0"/>
      </w:pPr>
      <w:r>
        <w:t xml:space="preserve">On November 7, 2022, Attorney Hymes refused either identification of Isam’s accounts or </w:t>
      </w:r>
      <w:r w:rsidR="004014A7">
        <w:t xml:space="preserve">provision of his </w:t>
      </w:r>
      <w:r>
        <w:t xml:space="preserve">bank statements. Exhibit 1. Hymes stated, at 2-3: “Access to the financial records of Island Appliances and my clients will not be granted.” In addition, he refused to even identify any foreign accounts held by Isam during that period: “You have asked for a Hamed 2nd Motion to Compel to Isam Yousuf Page 6 description of all foreign bank accounts in his name during the period 1995 to 2000. </w:t>
      </w:r>
    </w:p>
    <w:p w14:paraId="4FF2F6CF" w14:textId="0FC57386" w:rsidR="00BF691D" w:rsidRDefault="00A27451" w:rsidP="008B11F9">
      <w:pPr>
        <w:pStyle w:val="BodyText"/>
        <w:widowControl/>
        <w:numPr>
          <w:ilvl w:val="0"/>
          <w:numId w:val="28"/>
        </w:numPr>
        <w:spacing w:after="120"/>
        <w:ind w:right="114"/>
        <w:jc w:val="both"/>
        <w:outlineLvl w:val="0"/>
      </w:pPr>
      <w:r>
        <w:t>T</w:t>
      </w:r>
      <w:r w:rsidR="00BF691D">
        <w:t>he central factual issue in this series of cases is starkly black and white: Whose funds were really provided to Sixteen Plus? Did Manal Yousef’s father deposit $4.5 million into Isam Yousuf’s BFC accounts over a seven-year period as he alleges, or was the money in those accounts simply skimmed funds put there by Wally and Fathi over a very short period from April 1996, onwards? In other words, were Manal’s funds loaned to Sixteen Plus to buy the subject land, or were only Hamed’s and Yusuf’s funds being deposited and transferred to Sixteen Plus to buy the land?</w:t>
      </w:r>
    </w:p>
    <w:p w14:paraId="28EB1F9B" w14:textId="404C8936" w:rsidR="00BF691D" w:rsidRDefault="00BF691D" w:rsidP="0060640A">
      <w:pPr>
        <w:pStyle w:val="BodyText"/>
        <w:widowControl/>
        <w:numPr>
          <w:ilvl w:val="0"/>
          <w:numId w:val="28"/>
        </w:numPr>
        <w:ind w:right="114"/>
        <w:jc w:val="both"/>
        <w:outlineLvl w:val="0"/>
      </w:pPr>
      <w:r>
        <w:t>The V.I. Supreme Court having adopted it. . .Restatement 3d of Property: Mortgages, § 1.2, is clear—that where sham notes and the associated mortgages arise without any real value having been provided by the putative loaning party (i.e., undertaken without actual funding for some other purpose than a real loan) they are, obviously, unenforceable.</w:t>
      </w:r>
    </w:p>
    <w:p w14:paraId="739C63CF" w14:textId="77777777" w:rsidR="00BF691D" w:rsidRPr="000A7D63" w:rsidRDefault="00BF691D" w:rsidP="00BF691D">
      <w:pPr>
        <w:pStyle w:val="BodyText"/>
        <w:widowControl/>
        <w:spacing w:before="92"/>
        <w:ind w:left="1080" w:right="114"/>
        <w:jc w:val="both"/>
        <w:outlineLvl w:val="0"/>
        <w:rPr>
          <w:sz w:val="16"/>
          <w:szCs w:val="16"/>
        </w:rPr>
      </w:pPr>
    </w:p>
    <w:p w14:paraId="6C063167" w14:textId="6B4277AB" w:rsidR="00BC05EF" w:rsidRDefault="00BF691D" w:rsidP="0060640A">
      <w:pPr>
        <w:pStyle w:val="BodyText"/>
        <w:widowControl/>
        <w:numPr>
          <w:ilvl w:val="0"/>
          <w:numId w:val="23"/>
        </w:numPr>
        <w:jc w:val="both"/>
        <w:outlineLvl w:val="0"/>
      </w:pPr>
      <w:r>
        <w:t xml:space="preserve">At. Page </w:t>
      </w:r>
      <w:r w:rsidR="00E47232">
        <w:t>8-10</w:t>
      </w:r>
      <w:r>
        <w:t>:</w:t>
      </w:r>
    </w:p>
    <w:p w14:paraId="6FF5DD6B" w14:textId="77777777" w:rsidR="0060640A" w:rsidRPr="000A7D63" w:rsidRDefault="0060640A" w:rsidP="0060640A">
      <w:pPr>
        <w:pStyle w:val="BodyText"/>
        <w:widowControl/>
        <w:ind w:left="1080"/>
        <w:jc w:val="both"/>
        <w:outlineLvl w:val="0"/>
        <w:rPr>
          <w:sz w:val="8"/>
          <w:szCs w:val="8"/>
        </w:rPr>
      </w:pPr>
    </w:p>
    <w:p w14:paraId="29FE6553" w14:textId="05515DEA" w:rsidR="00BF691D" w:rsidRDefault="00E47232" w:rsidP="008B11F9">
      <w:pPr>
        <w:pStyle w:val="BodyText"/>
        <w:widowControl/>
        <w:numPr>
          <w:ilvl w:val="0"/>
          <w:numId w:val="31"/>
        </w:numPr>
        <w:spacing w:after="120"/>
        <w:jc w:val="both"/>
        <w:outlineLvl w:val="0"/>
      </w:pPr>
      <w:r>
        <w:t xml:space="preserve">Hamed already has extensive investigative proof to support his belief that the Isam accounts will identically track the other three STM BFC laundering accounts—as described in two separate French investigations. (The parties not only have the details of the French investigations, but also some </w:t>
      </w:r>
      <w:r>
        <w:lastRenderedPageBreak/>
        <w:t xml:space="preserve">of the corresponding bank statements of those other </w:t>
      </w:r>
      <w:r w:rsidR="002D4A01">
        <w:t>3</w:t>
      </w:r>
      <w:r>
        <w:t xml:space="preserve"> laundering accounts opened in 1996 “c/o Isam Yousuf”</w:t>
      </w:r>
      <w:r w:rsidR="002D4A01">
        <w:t xml:space="preserve">, </w:t>
      </w:r>
      <w:r>
        <w:t>address</w:t>
      </w:r>
      <w:r w:rsidR="002D4A01">
        <w:t>ed to ”</w:t>
      </w:r>
      <w:r>
        <w:t>Island Appliances</w:t>
      </w:r>
      <w:r w:rsidR="002D4A01">
        <w:t>”</w:t>
      </w:r>
      <w:r>
        <w:t>.</w:t>
      </w:r>
      <w:r w:rsidR="004014A7">
        <w:t>)</w:t>
      </w:r>
    </w:p>
    <w:p w14:paraId="17F4E6BA" w14:textId="387401F4" w:rsidR="00BC05EF" w:rsidRDefault="00E47232" w:rsidP="008B11F9">
      <w:pPr>
        <w:pStyle w:val="BodyText"/>
        <w:widowControl/>
        <w:numPr>
          <w:ilvl w:val="0"/>
          <w:numId w:val="31"/>
        </w:numPr>
        <w:spacing w:after="120"/>
        <w:jc w:val="both"/>
        <w:outlineLvl w:val="0"/>
      </w:pPr>
      <w:r>
        <w:t>Prior to April 1995, the Isam accounts will show no total of funds anywhere even near $1 million, much less $4.5 million. There will certainly be no pre-1995 large amounts in the two 1995 Isam accounts from which the subject loan was actually made. Then sudden, unattributed cash deposits.</w:t>
      </w:r>
    </w:p>
    <w:p w14:paraId="3F37B001" w14:textId="710AB914" w:rsidR="00E47232" w:rsidRDefault="00E47232" w:rsidP="008B11F9">
      <w:pPr>
        <w:pStyle w:val="BodyText"/>
        <w:widowControl/>
        <w:numPr>
          <w:ilvl w:val="0"/>
          <w:numId w:val="31"/>
        </w:numPr>
        <w:spacing w:after="120"/>
        <w:jc w:val="both"/>
        <w:outlineLvl w:val="0"/>
      </w:pPr>
      <w:r>
        <w:t xml:space="preserve">Just before the first, February 1997, $2 million ‘loan’ was needed to purchase the Diamond Keturah land on St. Croix, the French Banking Commission was able to track the same 1995 Isam account transferring the loan funds as receiving $1.5 million of large, unattributed cash deposits in “10 consecutive deposits" by Isam to Isam. </w:t>
      </w:r>
      <w:r w:rsidR="004014A7">
        <w:t xml:space="preserve">[Original] </w:t>
      </w:r>
      <w:r>
        <w:t>Exhibit 7, chart on page 11. This was just days before the first $2 million transfer to Sixteen Plus out of that same 1995 Isam account.</w:t>
      </w:r>
    </w:p>
    <w:p w14:paraId="1A54D11C" w14:textId="6F2BB015" w:rsidR="00E47232" w:rsidRDefault="00E47232" w:rsidP="00E47232">
      <w:pPr>
        <w:pStyle w:val="BodyText"/>
        <w:widowControl/>
        <w:numPr>
          <w:ilvl w:val="0"/>
          <w:numId w:val="31"/>
        </w:numPr>
        <w:jc w:val="both"/>
        <w:outlineLvl w:val="0"/>
      </w:pPr>
      <w:r>
        <w:t>The St. Martin Judicial Police were able to obtain the Isam BFC account statements, and found that on one day, $8 million flowed into and then out of one of the</w:t>
      </w:r>
      <w:r w:rsidR="00FF15F9">
        <w:t xml:space="preserve"> same</w:t>
      </w:r>
      <w:r>
        <w:t xml:space="preserve"> two accounts</w:t>
      </w:r>
      <w:r w:rsidR="00FF15F9">
        <w:t xml:space="preserve"> used for the Sixteen Plus transfers</w:t>
      </w:r>
      <w:r>
        <w:t>.</w:t>
      </w:r>
    </w:p>
    <w:p w14:paraId="73C442D8" w14:textId="4B454B1C" w:rsidR="00E47232" w:rsidRPr="002D4A01" w:rsidRDefault="00E47232" w:rsidP="00E47232">
      <w:pPr>
        <w:pStyle w:val="BodyText"/>
        <w:widowControl/>
        <w:ind w:left="720"/>
        <w:jc w:val="both"/>
        <w:outlineLvl w:val="0"/>
        <w:rPr>
          <w:sz w:val="16"/>
          <w:szCs w:val="16"/>
        </w:rPr>
      </w:pPr>
    </w:p>
    <w:p w14:paraId="3C5F47B7" w14:textId="6CE3EA32" w:rsidR="00E47232" w:rsidRDefault="00E47232" w:rsidP="00E47232">
      <w:pPr>
        <w:pStyle w:val="BodyText"/>
        <w:widowControl/>
        <w:numPr>
          <w:ilvl w:val="0"/>
          <w:numId w:val="23"/>
        </w:numPr>
        <w:jc w:val="both"/>
        <w:outlineLvl w:val="0"/>
      </w:pPr>
      <w:r>
        <w:t>At pages 11-end</w:t>
      </w:r>
    </w:p>
    <w:p w14:paraId="7E9C6A69" w14:textId="51AB2DDD" w:rsidR="00E47232" w:rsidRDefault="00E47232" w:rsidP="00E47232">
      <w:pPr>
        <w:pStyle w:val="BodyText"/>
        <w:widowControl/>
        <w:jc w:val="both"/>
        <w:outlineLvl w:val="0"/>
      </w:pPr>
    </w:p>
    <w:p w14:paraId="3D6AA03E" w14:textId="0B8E8A60" w:rsidR="00E47232" w:rsidRDefault="005C76C0" w:rsidP="00E47232">
      <w:pPr>
        <w:pStyle w:val="BodyText"/>
        <w:widowControl/>
        <w:spacing w:line="480" w:lineRule="auto"/>
        <w:ind w:firstLine="720"/>
        <w:jc w:val="both"/>
        <w:outlineLvl w:val="0"/>
      </w:pPr>
      <w:r>
        <w:t xml:space="preserve">In the balance of </w:t>
      </w:r>
      <w:r w:rsidR="0060640A">
        <w:t>his</w:t>
      </w:r>
      <w:r>
        <w:t xml:space="preserve"> opposition, </w:t>
      </w:r>
      <w:r w:rsidR="00E47232">
        <w:t xml:space="preserve">Isam does not </w:t>
      </w:r>
      <w:r>
        <w:t>address</w:t>
      </w:r>
      <w:r w:rsidR="00E47232">
        <w:t xml:space="preserve"> </w:t>
      </w:r>
      <w:r>
        <w:t xml:space="preserve">(1) </w:t>
      </w:r>
      <w:r w:rsidR="00E47232">
        <w:t xml:space="preserve">the applicable rules, </w:t>
      </w:r>
      <w:r>
        <w:t xml:space="preserve">(2) </w:t>
      </w:r>
      <w:r w:rsidR="00E47232">
        <w:t xml:space="preserve">any of the legal arguments </w:t>
      </w:r>
      <w:r w:rsidR="00FF15F9">
        <w:t>set</w:t>
      </w:r>
      <w:r w:rsidR="00E47232">
        <w:t xml:space="preserve"> forth, or </w:t>
      </w:r>
      <w:r>
        <w:t xml:space="preserve">(3) </w:t>
      </w:r>
      <w:r w:rsidR="00E47232">
        <w:t xml:space="preserve">the case law regarding “control” of the documents at issue. He </w:t>
      </w:r>
      <w:r>
        <w:t xml:space="preserve">(4) </w:t>
      </w:r>
      <w:r w:rsidR="00E47232">
        <w:t xml:space="preserve">does not contest that he has received the two French investigations </w:t>
      </w:r>
      <w:r>
        <w:t xml:space="preserve">(5) </w:t>
      </w:r>
      <w:r w:rsidR="00E47232">
        <w:t xml:space="preserve">or what they demonstrate. He </w:t>
      </w:r>
      <w:r>
        <w:t xml:space="preserve">(6) </w:t>
      </w:r>
      <w:r w:rsidR="00E47232">
        <w:t xml:space="preserve">does not dispute the statements in those </w:t>
      </w:r>
      <w:r w:rsidR="00A27451">
        <w:t xml:space="preserve">investigation </w:t>
      </w:r>
      <w:r w:rsidR="00E47232">
        <w:t xml:space="preserve">that he had </w:t>
      </w:r>
      <w:r w:rsidR="00E47232" w:rsidRPr="00A27451">
        <w:rPr>
          <w:i/>
          <w:iCs/>
          <w:u w:val="single"/>
        </w:rPr>
        <w:t>many</w:t>
      </w:r>
      <w:r w:rsidR="00E47232">
        <w:t xml:space="preserve"> bank accounts</w:t>
      </w:r>
      <w:r w:rsidR="00E6323B">
        <w:t xml:space="preserve"> he has not disclosed here</w:t>
      </w:r>
      <w:r w:rsidR="00E47232">
        <w:t xml:space="preserve">, </w:t>
      </w:r>
      <w:r>
        <w:t xml:space="preserve">(7) </w:t>
      </w:r>
      <w:r w:rsidR="00A27451">
        <w:t>that he had a major</w:t>
      </w:r>
      <w:r w:rsidR="00FF15F9">
        <w:t>,</w:t>
      </w:r>
      <w:r w:rsidR="00A27451">
        <w:t xml:space="preserve"> </w:t>
      </w:r>
      <w:r w:rsidR="00FF15F9">
        <w:t xml:space="preserve">undisclosed </w:t>
      </w:r>
      <w:r w:rsidR="00A27451">
        <w:t xml:space="preserve">account in Amman, </w:t>
      </w:r>
      <w:r w:rsidR="004A4798">
        <w:t>Jordan,</w:t>
      </w:r>
      <w:r w:rsidR="00A27451">
        <w:t xml:space="preserve"> and an address there</w:t>
      </w:r>
      <w:r w:rsidR="00E6323B">
        <w:t xml:space="preserve"> he has not disclosed </w:t>
      </w:r>
      <w:r w:rsidR="00FF15F9">
        <w:t>either</w:t>
      </w:r>
      <w:r w:rsidR="00A27451">
        <w:t xml:space="preserve">, </w:t>
      </w:r>
      <w:r>
        <w:t xml:space="preserve">(8) </w:t>
      </w:r>
      <w:r w:rsidR="00E47232">
        <w:t>that he was a sign</w:t>
      </w:r>
      <w:r w:rsidR="00FF15F9">
        <w:t>or</w:t>
      </w:r>
      <w:r w:rsidR="00E47232">
        <w:t xml:space="preserve"> on the Hamdan Diamond account, </w:t>
      </w:r>
      <w:r>
        <w:t xml:space="preserve">(8) </w:t>
      </w:r>
      <w:r w:rsidR="00E47232">
        <w:t xml:space="preserve">that $8 million went into and out of one of these accounts in </w:t>
      </w:r>
      <w:r>
        <w:t>one</w:t>
      </w:r>
      <w:r w:rsidR="00E47232">
        <w:t xml:space="preserve"> day—or </w:t>
      </w:r>
      <w:r>
        <w:t xml:space="preserve">(9) </w:t>
      </w:r>
      <w:r w:rsidR="00E47232">
        <w:t xml:space="preserve">anything else. </w:t>
      </w:r>
    </w:p>
    <w:p w14:paraId="43233F03" w14:textId="4CE46ACD" w:rsidR="00B82634" w:rsidRDefault="00E47232" w:rsidP="00747AFD">
      <w:pPr>
        <w:pStyle w:val="BodyText"/>
        <w:widowControl/>
        <w:spacing w:line="480" w:lineRule="auto"/>
        <w:jc w:val="both"/>
        <w:outlineLvl w:val="0"/>
      </w:pPr>
      <w:r>
        <w:tab/>
      </w:r>
      <w:r w:rsidR="005C76C0">
        <w:t xml:space="preserve">This </w:t>
      </w:r>
      <w:r>
        <w:t>may be a good strategy, considering the weight of the facts and law</w:t>
      </w:r>
      <w:r w:rsidR="005C76C0">
        <w:t>;</w:t>
      </w:r>
      <w:r>
        <w:t xml:space="preserve"> to fling vitriol and </w:t>
      </w:r>
      <w:r w:rsidR="000D2A30">
        <w:t>gyrate</w:t>
      </w:r>
      <w:r w:rsidR="00E6323B">
        <w:t xml:space="preserve"> </w:t>
      </w:r>
      <w:r w:rsidR="005C76C0">
        <w:t xml:space="preserve">wildly </w:t>
      </w:r>
      <w:r w:rsidR="00E6323B">
        <w:t xml:space="preserve">about to </w:t>
      </w:r>
      <w:r>
        <w:t>avoid th</w:t>
      </w:r>
      <w:r w:rsidR="005C76C0">
        <w:t>e</w:t>
      </w:r>
      <w:r>
        <w:t xml:space="preserve"> facts and law. Nonetheless, Hamed asks the Court to deem these points conceded</w:t>
      </w:r>
      <w:r w:rsidR="00A27451">
        <w:t xml:space="preserve"> for this </w:t>
      </w:r>
      <w:r w:rsidR="00180F1A">
        <w:t>Motion</w:t>
      </w:r>
      <w:r>
        <w:t xml:space="preserve">—particularly as to </w:t>
      </w:r>
      <w:r w:rsidR="00E6323B">
        <w:t>Isam’s</w:t>
      </w:r>
      <w:r>
        <w:t xml:space="preserve"> lack of any discussion or argument </w:t>
      </w:r>
      <w:r w:rsidR="00E6323B">
        <w:t>refuting his legal</w:t>
      </w:r>
      <w:r>
        <w:t xml:space="preserve"> </w:t>
      </w:r>
      <w:r w:rsidR="005C76C0">
        <w:t>“</w:t>
      </w:r>
      <w:r w:rsidRPr="00E6323B">
        <w:t>control</w:t>
      </w:r>
      <w:r w:rsidR="005C76C0">
        <w:t>”</w:t>
      </w:r>
      <w:r w:rsidRPr="00E6323B">
        <w:t xml:space="preserve"> of </w:t>
      </w:r>
      <w:r w:rsidR="005C76C0">
        <w:t xml:space="preserve">his </w:t>
      </w:r>
      <w:r w:rsidR="000D2A30">
        <w:t xml:space="preserve">own bank </w:t>
      </w:r>
      <w:r w:rsidR="00E6323B">
        <w:t>statements</w:t>
      </w:r>
      <w:r w:rsidR="00747AFD" w:rsidRPr="00E6323B">
        <w:t>.</w:t>
      </w:r>
    </w:p>
    <w:p w14:paraId="71E2168F" w14:textId="77777777" w:rsidR="00B82634" w:rsidRDefault="00B82634">
      <w:pPr>
        <w:rPr>
          <w:rFonts w:eastAsia="Arial" w:cs="Arial"/>
        </w:rPr>
      </w:pPr>
      <w:r>
        <w:br w:type="page"/>
      </w:r>
    </w:p>
    <w:p w14:paraId="49186DD3" w14:textId="781C63D2" w:rsidR="00482F63" w:rsidRDefault="00482F63" w:rsidP="00322299">
      <w:pPr>
        <w:pStyle w:val="ListParagraph"/>
        <w:numPr>
          <w:ilvl w:val="0"/>
          <w:numId w:val="32"/>
        </w:numPr>
        <w:spacing w:after="0" w:line="240" w:lineRule="auto"/>
        <w:jc w:val="both"/>
        <w:outlineLvl w:val="0"/>
        <w:rPr>
          <w:rFonts w:ascii="Arial" w:hAnsi="Arial" w:cs="Arial"/>
          <w:b/>
          <w:bCs/>
          <w:sz w:val="24"/>
          <w:bdr w:val="none" w:sz="0" w:space="0" w:color="auto" w:frame="1"/>
          <w:shd w:val="clear" w:color="auto" w:fill="FFFFFF"/>
        </w:rPr>
      </w:pPr>
      <w:r w:rsidRPr="00482F63">
        <w:rPr>
          <w:rFonts w:ascii="Arial" w:hAnsi="Arial" w:cs="Arial"/>
          <w:b/>
          <w:bCs/>
          <w:sz w:val="24"/>
          <w:bdr w:val="none" w:sz="0" w:space="0" w:color="auto" w:frame="1"/>
          <w:shd w:val="clear" w:color="auto" w:fill="FFFFFF"/>
        </w:rPr>
        <w:lastRenderedPageBreak/>
        <w:t>Conclusion</w:t>
      </w:r>
    </w:p>
    <w:p w14:paraId="742E6AB1" w14:textId="77777777" w:rsidR="00322299" w:rsidRPr="00322299" w:rsidRDefault="00322299" w:rsidP="00322299">
      <w:pPr>
        <w:pStyle w:val="ListParagraph"/>
        <w:spacing w:after="0" w:line="240" w:lineRule="auto"/>
        <w:ind w:left="1440"/>
        <w:jc w:val="both"/>
        <w:outlineLvl w:val="0"/>
        <w:rPr>
          <w:rFonts w:ascii="Arial" w:hAnsi="Arial" w:cs="Arial"/>
          <w:b/>
          <w:bCs/>
          <w:sz w:val="16"/>
          <w:szCs w:val="16"/>
          <w:bdr w:val="none" w:sz="0" w:space="0" w:color="auto" w:frame="1"/>
          <w:shd w:val="clear" w:color="auto" w:fill="FFFFFF"/>
        </w:rPr>
      </w:pPr>
    </w:p>
    <w:p w14:paraId="1E8E6245" w14:textId="2A43953D" w:rsidR="001C27C1" w:rsidRDefault="00482F63" w:rsidP="00482F63">
      <w:pPr>
        <w:spacing w:line="480" w:lineRule="auto"/>
        <w:ind w:firstLine="720"/>
        <w:jc w:val="both"/>
        <w:outlineLvl w:val="0"/>
        <w:rPr>
          <w:rFonts w:cs="Arial"/>
          <w:color w:val="000000"/>
        </w:rPr>
      </w:pPr>
      <w:r w:rsidRPr="00482F63">
        <w:rPr>
          <w:rFonts w:cs="Arial"/>
          <w:color w:val="000000"/>
        </w:rPr>
        <w:t>Isam’s</w:t>
      </w:r>
      <w:r>
        <w:rPr>
          <w:rFonts w:cs="Arial"/>
          <w:color w:val="000000"/>
        </w:rPr>
        <w:t xml:space="preserve"> assertion of a unilateral version of “</w:t>
      </w:r>
      <w:r w:rsidR="004A4798">
        <w:rPr>
          <w:rFonts w:cs="Arial"/>
          <w:color w:val="000000"/>
        </w:rPr>
        <w:t>unclean</w:t>
      </w:r>
      <w:r>
        <w:rPr>
          <w:rFonts w:cs="Arial"/>
          <w:color w:val="000000"/>
        </w:rPr>
        <w:t xml:space="preserve"> hands</w:t>
      </w:r>
      <w:r w:rsidR="00E14533">
        <w:rPr>
          <w:rFonts w:cs="Arial"/>
          <w:color w:val="000000"/>
        </w:rPr>
        <w:t>”</w:t>
      </w:r>
      <w:r>
        <w:rPr>
          <w:rFonts w:cs="Arial"/>
          <w:color w:val="000000"/>
        </w:rPr>
        <w:t xml:space="preserve"> </w:t>
      </w:r>
      <w:r w:rsidR="00A41A39">
        <w:rPr>
          <w:rFonts w:cs="Arial"/>
          <w:color w:val="000000"/>
        </w:rPr>
        <w:t xml:space="preserve">without reference to the </w:t>
      </w:r>
      <w:r w:rsidR="001C27C1">
        <w:rPr>
          <w:rFonts w:cs="Arial"/>
          <w:color w:val="000000"/>
        </w:rPr>
        <w:t xml:space="preserve">degree of fault of the </w:t>
      </w:r>
      <w:r w:rsidR="00A41A39">
        <w:rPr>
          <w:rFonts w:cs="Arial"/>
          <w:color w:val="000000"/>
        </w:rPr>
        <w:t xml:space="preserve">other parties </w:t>
      </w:r>
      <w:r>
        <w:rPr>
          <w:rFonts w:cs="Arial"/>
          <w:color w:val="000000"/>
        </w:rPr>
        <w:t xml:space="preserve">is both inapplicable and </w:t>
      </w:r>
      <w:r w:rsidR="00A41A39">
        <w:rPr>
          <w:rFonts w:cs="Arial"/>
          <w:color w:val="000000"/>
        </w:rPr>
        <w:t xml:space="preserve">vastly </w:t>
      </w:r>
      <w:r>
        <w:rPr>
          <w:rFonts w:cs="Arial"/>
          <w:color w:val="000000"/>
        </w:rPr>
        <w:t xml:space="preserve">premature. It should, therefore, be ignored for the time being. </w:t>
      </w:r>
      <w:r w:rsidR="001C27C1">
        <w:rPr>
          <w:rFonts w:cs="Arial"/>
          <w:color w:val="000000"/>
        </w:rPr>
        <w:t xml:space="preserve">When the time comes and there is sufficient evidence from discovery to find facts, unclean hands will have to be weighed against the plenary judicial response of </w:t>
      </w:r>
      <w:r w:rsidR="001C27C1" w:rsidRPr="001C27C1">
        <w:rPr>
          <w:rFonts w:cs="Arial"/>
          <w:i/>
          <w:iCs/>
          <w:color w:val="000000"/>
        </w:rPr>
        <w:t>in pari delicto</w:t>
      </w:r>
      <w:r w:rsidR="001C27C1">
        <w:rPr>
          <w:rFonts w:cs="Arial"/>
          <w:color w:val="000000"/>
        </w:rPr>
        <w:t>.</w:t>
      </w:r>
      <w:r w:rsidR="0052049A">
        <w:rPr>
          <w:rFonts w:cs="Arial"/>
          <w:color w:val="000000"/>
        </w:rPr>
        <w:t xml:space="preserve"> But discovery must proceed.</w:t>
      </w:r>
    </w:p>
    <w:p w14:paraId="2675A95E" w14:textId="1971EE28" w:rsidR="00A41A39" w:rsidRDefault="001C27C1" w:rsidP="00E71F01">
      <w:pPr>
        <w:spacing w:line="480" w:lineRule="auto"/>
        <w:ind w:firstLine="720"/>
        <w:jc w:val="both"/>
        <w:outlineLvl w:val="0"/>
      </w:pPr>
      <w:r>
        <w:rPr>
          <w:rFonts w:cs="Arial"/>
          <w:color w:val="000000"/>
        </w:rPr>
        <w:t>Isam</w:t>
      </w:r>
      <w:r w:rsidR="00482F63">
        <w:rPr>
          <w:rFonts w:cs="Arial"/>
          <w:color w:val="000000"/>
        </w:rPr>
        <w:t xml:space="preserve"> has failed to respond to most of the factual and legal issues in the </w:t>
      </w:r>
      <w:r w:rsidR="00322299">
        <w:rPr>
          <w:rFonts w:cs="Arial"/>
          <w:color w:val="000000"/>
        </w:rPr>
        <w:t>M</w:t>
      </w:r>
      <w:r w:rsidR="00482F63">
        <w:rPr>
          <w:rFonts w:cs="Arial"/>
          <w:color w:val="000000"/>
        </w:rPr>
        <w:t xml:space="preserve">otion—thus the </w:t>
      </w:r>
      <w:r w:rsidR="00322299">
        <w:rPr>
          <w:rFonts w:cs="Arial"/>
          <w:color w:val="000000"/>
        </w:rPr>
        <w:t>M</w:t>
      </w:r>
      <w:r w:rsidR="00482F63">
        <w:rPr>
          <w:rFonts w:cs="Arial"/>
          <w:color w:val="000000"/>
        </w:rPr>
        <w:t>otion should be deemed conceded</w:t>
      </w:r>
    </w:p>
    <w:p w14:paraId="3D7F7C12" w14:textId="08EC5115" w:rsidR="002F3D36" w:rsidRDefault="001C27C1" w:rsidP="001C27C1">
      <w:pPr>
        <w:spacing w:line="480" w:lineRule="auto"/>
        <w:jc w:val="both"/>
        <w:outlineLvl w:val="0"/>
        <w:rPr>
          <w:rFonts w:cs="Arial"/>
          <w:color w:val="000000"/>
        </w:rPr>
      </w:pPr>
      <w:r>
        <w:rPr>
          <w:rFonts w:cs="Arial"/>
          <w:color w:val="000000"/>
        </w:rPr>
        <w:tab/>
        <w:t xml:space="preserve">The </w:t>
      </w:r>
      <w:r w:rsidR="00180F1A">
        <w:rPr>
          <w:rFonts w:cs="Arial"/>
          <w:color w:val="000000"/>
        </w:rPr>
        <w:t>Motion</w:t>
      </w:r>
      <w:r>
        <w:rPr>
          <w:rFonts w:cs="Arial"/>
          <w:color w:val="000000"/>
        </w:rPr>
        <w:t xml:space="preserve"> should be granted.</w:t>
      </w:r>
    </w:p>
    <w:p w14:paraId="6CEF5A42" w14:textId="356688B1" w:rsidR="00B82634" w:rsidRDefault="00B82634" w:rsidP="001C27C1">
      <w:pPr>
        <w:spacing w:line="480" w:lineRule="auto"/>
        <w:jc w:val="both"/>
        <w:outlineLvl w:val="0"/>
        <w:rPr>
          <w:rFonts w:cs="Arial"/>
          <w:color w:val="000000"/>
        </w:rPr>
      </w:pPr>
    </w:p>
    <w:p w14:paraId="3996CBBD" w14:textId="6912D88A" w:rsidR="00B82634" w:rsidRDefault="00B82634" w:rsidP="001C27C1">
      <w:pPr>
        <w:spacing w:line="480" w:lineRule="auto"/>
        <w:jc w:val="both"/>
        <w:outlineLvl w:val="0"/>
        <w:rPr>
          <w:rFonts w:cs="Arial"/>
          <w:color w:val="000000"/>
        </w:rPr>
      </w:pPr>
    </w:p>
    <w:p w14:paraId="130A1FE5" w14:textId="77777777" w:rsidR="00B82634" w:rsidRDefault="00B82634" w:rsidP="001C27C1">
      <w:pPr>
        <w:spacing w:line="480" w:lineRule="auto"/>
        <w:jc w:val="both"/>
        <w:outlineLvl w:val="0"/>
        <w:rPr>
          <w:rFonts w:cs="Arial"/>
          <w:color w:val="000000"/>
        </w:rPr>
      </w:pPr>
    </w:p>
    <w:p w14:paraId="4A1FDBDF" w14:textId="18CDE222" w:rsidR="00165F72" w:rsidRDefault="00165F72" w:rsidP="0004301D">
      <w:pPr>
        <w:ind w:left="5040"/>
        <w:rPr>
          <w:rFonts w:cs="Arial"/>
          <w:b/>
        </w:rPr>
      </w:pPr>
      <w:r w:rsidRPr="00AB711E">
        <w:rPr>
          <w:rFonts w:cs="Arial"/>
          <w:b/>
        </w:rPr>
        <w:t xml:space="preserve">Counsel for </w:t>
      </w:r>
      <w:r w:rsidR="00033207">
        <w:rPr>
          <w:rFonts w:cs="Arial"/>
          <w:b/>
        </w:rPr>
        <w:t>Hisham Hamed</w:t>
      </w:r>
    </w:p>
    <w:p w14:paraId="19EEDDDB" w14:textId="7BC1DB12" w:rsidR="00033207" w:rsidRDefault="00033207" w:rsidP="00033207">
      <w:pPr>
        <w:ind w:left="4320" w:firstLine="720"/>
        <w:rPr>
          <w:rFonts w:cs="Arial"/>
          <w:b/>
        </w:rPr>
      </w:pPr>
    </w:p>
    <w:p w14:paraId="7F7C9112" w14:textId="06764E0A" w:rsidR="004C3DB7" w:rsidRPr="00EF18A1" w:rsidRDefault="004C3DB7" w:rsidP="004C3DB7">
      <w:pPr>
        <w:autoSpaceDE w:val="0"/>
        <w:autoSpaceDN w:val="0"/>
        <w:adjustRightInd w:val="0"/>
        <w:jc w:val="both"/>
        <w:outlineLvl w:val="0"/>
        <w:rPr>
          <w:rFonts w:cs="Arial"/>
          <w:color w:val="222A35" w:themeColor="text2" w:themeShade="80"/>
          <w:sz w:val="72"/>
          <w:szCs w:val="72"/>
        </w:rPr>
      </w:pPr>
      <w:r w:rsidRPr="005C742C">
        <w:rPr>
          <w:rFonts w:cs="Arial"/>
          <w:b/>
        </w:rPr>
        <w:t>Dated:</w:t>
      </w:r>
      <w:r>
        <w:rPr>
          <w:rFonts w:cs="Arial"/>
        </w:rPr>
        <w:t xml:space="preserve"> </w:t>
      </w:r>
      <w:r w:rsidR="009C05CC">
        <w:rPr>
          <w:rFonts w:cs="Arial"/>
        </w:rPr>
        <w:t xml:space="preserve">December </w:t>
      </w:r>
      <w:r w:rsidR="00FF29E4">
        <w:rPr>
          <w:rFonts w:cs="Arial"/>
        </w:rPr>
        <w:t>2</w:t>
      </w:r>
      <w:r w:rsidR="002D4A01">
        <w:rPr>
          <w:rFonts w:cs="Arial"/>
        </w:rPr>
        <w:t>6</w:t>
      </w:r>
      <w:r>
        <w:rPr>
          <w:rFonts w:cs="Arial"/>
        </w:rPr>
        <w:t>, 2022</w:t>
      </w:r>
      <w:r>
        <w:rPr>
          <w:rFonts w:cs="Arial"/>
        </w:rPr>
        <w:tab/>
      </w:r>
      <w:r w:rsidR="009C05CC">
        <w:rPr>
          <w:rFonts w:cs="Arial"/>
        </w:rPr>
        <w:tab/>
      </w:r>
      <w:r>
        <w:rPr>
          <w:rFonts w:cs="Arial"/>
        </w:rPr>
        <w:tab/>
      </w:r>
      <w:r w:rsidRPr="00B269E7">
        <w:rPr>
          <w:rFonts w:ascii="CarlHartmann" w:hAnsi="CarlHartmann" w:cs="Arial"/>
          <w:b/>
          <w:bCs/>
          <w:color w:val="0070C0"/>
          <w:sz w:val="72"/>
          <w:szCs w:val="72"/>
        </w:rPr>
        <w:t>A</w:t>
      </w:r>
    </w:p>
    <w:p w14:paraId="68D65433" w14:textId="0C946A47" w:rsidR="004C3DB7" w:rsidRPr="005C742C" w:rsidRDefault="004C3DB7" w:rsidP="004C3DB7">
      <w:pPr>
        <w:autoSpaceDE w:val="0"/>
        <w:autoSpaceDN w:val="0"/>
        <w:adjustRightInd w:val="0"/>
        <w:jc w:val="both"/>
        <w:rPr>
          <w:rFonts w:cs="Arial"/>
          <w:b/>
        </w:rPr>
      </w:pPr>
      <w:r w:rsidRPr="005C742C">
        <w:rPr>
          <w:rFonts w:cs="Arial"/>
        </w:rPr>
        <w:tab/>
      </w:r>
      <w:r w:rsidRPr="005C742C">
        <w:rPr>
          <w:rFonts w:cs="Arial"/>
        </w:rPr>
        <w:tab/>
      </w:r>
      <w:r w:rsidRPr="005C742C">
        <w:rPr>
          <w:rFonts w:cs="Arial"/>
        </w:rPr>
        <w:tab/>
      </w:r>
      <w:r>
        <w:rPr>
          <w:rFonts w:cs="Arial"/>
        </w:rPr>
        <w:tab/>
      </w:r>
      <w:r>
        <w:rPr>
          <w:rFonts w:cs="Arial"/>
        </w:rPr>
        <w:tab/>
      </w:r>
      <w:r>
        <w:rPr>
          <w:rFonts w:cs="Arial"/>
        </w:rPr>
        <w:tab/>
      </w:r>
      <w:r>
        <w:rPr>
          <w:rFonts w:cs="Arial"/>
        </w:rPr>
        <w:tab/>
      </w:r>
      <w:r w:rsidRPr="005C742C">
        <w:rPr>
          <w:rFonts w:cs="Arial"/>
          <w:b/>
        </w:rPr>
        <w:t>Carl J. Hartmann III, Esq.</w:t>
      </w:r>
      <w:r w:rsidRPr="0004301D">
        <w:rPr>
          <w:rFonts w:cs="Arial"/>
          <w:bCs/>
        </w:rPr>
        <w:t xml:space="preserve"> </w:t>
      </w:r>
      <w:r w:rsidR="0004301D" w:rsidRPr="0004301D">
        <w:rPr>
          <w:rFonts w:cs="Arial"/>
          <w:bCs/>
        </w:rPr>
        <w:t>(Bar #48)</w:t>
      </w:r>
    </w:p>
    <w:p w14:paraId="016921B1" w14:textId="4E841B27" w:rsidR="004C3DB7" w:rsidRPr="005C742C" w:rsidRDefault="004C3DB7" w:rsidP="004C3DB7">
      <w:pPr>
        <w:rPr>
          <w:rFonts w:cs="Arial"/>
          <w:i/>
        </w:rPr>
      </w:pP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i/>
        </w:rPr>
        <w:t xml:space="preserve">Co-Counsel for </w:t>
      </w:r>
      <w:r w:rsidR="0004301D">
        <w:rPr>
          <w:rFonts w:cs="Arial"/>
          <w:i/>
        </w:rPr>
        <w:t>Hisham Hamed</w:t>
      </w:r>
    </w:p>
    <w:p w14:paraId="393E2BC3" w14:textId="3D1275D8" w:rsidR="004C3DB7" w:rsidRPr="005C742C" w:rsidRDefault="004C3DB7" w:rsidP="004C3DB7">
      <w:pPr>
        <w:rPr>
          <w:rFonts w:cs="Arial"/>
        </w:rPr>
      </w:pP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Pr>
          <w:rFonts w:cs="Arial"/>
        </w:rPr>
        <w:t>2940 Brookwind Dr,</w:t>
      </w:r>
    </w:p>
    <w:p w14:paraId="2121B4FB" w14:textId="083FAEAC" w:rsidR="004C3DB7" w:rsidRDefault="004C3DB7" w:rsidP="004C3DB7">
      <w:pPr>
        <w:rPr>
          <w:rFonts w:cs="Arial"/>
        </w:rPr>
      </w:pP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Pr>
          <w:rFonts w:cs="Arial"/>
        </w:rPr>
        <w:t>Holland, MI 49424</w:t>
      </w:r>
    </w:p>
    <w:p w14:paraId="2528B7A9" w14:textId="34BDDBD1" w:rsidR="004C3DB7" w:rsidRPr="005C742C" w:rsidRDefault="004C3DB7" w:rsidP="004C3DB7">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Telephone: (340) 642-4422</w:t>
      </w:r>
    </w:p>
    <w:p w14:paraId="261A83E5" w14:textId="77777777" w:rsidR="004C3DB7" w:rsidRDefault="004C3DB7" w:rsidP="0004301D">
      <w:pPr>
        <w:ind w:left="5040"/>
        <w:jc w:val="both"/>
        <w:rPr>
          <w:rFonts w:cs="Arial"/>
        </w:rPr>
      </w:pPr>
      <w:r w:rsidRPr="005C742C">
        <w:rPr>
          <w:rFonts w:cs="Arial"/>
        </w:rPr>
        <w:t xml:space="preserve">Email: </w:t>
      </w:r>
      <w:r w:rsidRPr="002211EE">
        <w:rPr>
          <w:rFonts w:cs="Arial"/>
        </w:rPr>
        <w:t>carl@carlhartmann.com</w:t>
      </w:r>
    </w:p>
    <w:p w14:paraId="579E6AAA" w14:textId="736EF2BE" w:rsidR="004C3DB7" w:rsidRDefault="004C3DB7" w:rsidP="00B370E9">
      <w:pPr>
        <w:jc w:val="both"/>
        <w:rPr>
          <w:rFonts w:cs="Arial"/>
        </w:rPr>
      </w:pPr>
    </w:p>
    <w:p w14:paraId="74D4AEBA" w14:textId="72A6B957" w:rsidR="00165F72" w:rsidRDefault="00165F72" w:rsidP="004C3DB7">
      <w:pPr>
        <w:ind w:left="2160" w:firstLine="720"/>
        <w:jc w:val="both"/>
        <w:rPr>
          <w:rFonts w:cs="Arial"/>
          <w:bCs/>
        </w:rPr>
      </w:pPr>
      <w:r w:rsidRPr="0021322F">
        <w:rPr>
          <w:rFonts w:cs="Arial"/>
          <w:i/>
        </w:rPr>
        <w:tab/>
      </w:r>
      <w:r w:rsidRPr="0021322F">
        <w:rPr>
          <w:rFonts w:cs="Arial"/>
          <w:i/>
        </w:rPr>
        <w:tab/>
      </w:r>
      <w:r w:rsidRPr="0021322F">
        <w:rPr>
          <w:rFonts w:cs="Arial"/>
          <w:i/>
        </w:rPr>
        <w:tab/>
      </w:r>
      <w:r w:rsidRPr="00D96C5C">
        <w:rPr>
          <w:rFonts w:cs="Arial"/>
          <w:b/>
        </w:rPr>
        <w:t>Joel H. Holt, Esq. (</w:t>
      </w:r>
      <w:r w:rsidRPr="00033207">
        <w:rPr>
          <w:rFonts w:cs="Arial"/>
          <w:bCs/>
        </w:rPr>
        <w:t>Bar # 6)</w:t>
      </w:r>
    </w:p>
    <w:p w14:paraId="01212556" w14:textId="56A94825" w:rsidR="0004301D" w:rsidRPr="0004301D" w:rsidRDefault="0004301D" w:rsidP="004C3DB7">
      <w:pPr>
        <w:ind w:left="2160" w:firstLine="720"/>
        <w:jc w:val="both"/>
        <w:rPr>
          <w:rFonts w:cs="Arial"/>
          <w:bCs/>
          <w:i/>
          <w:iCs/>
        </w:rPr>
      </w:pPr>
      <w:r>
        <w:rPr>
          <w:rFonts w:cs="Arial"/>
          <w:b/>
        </w:rPr>
        <w:tab/>
      </w:r>
      <w:r>
        <w:rPr>
          <w:rFonts w:cs="Arial"/>
          <w:b/>
        </w:rPr>
        <w:tab/>
      </w:r>
      <w:r>
        <w:rPr>
          <w:rFonts w:cs="Arial"/>
          <w:b/>
        </w:rPr>
        <w:tab/>
      </w:r>
      <w:r w:rsidRPr="0004301D">
        <w:rPr>
          <w:rFonts w:cs="Arial"/>
          <w:bCs/>
          <w:i/>
          <w:iCs/>
        </w:rPr>
        <w:t>Counsel for Hisham Hamed</w:t>
      </w:r>
    </w:p>
    <w:p w14:paraId="1E401639" w14:textId="3745FF86" w:rsidR="00165F72" w:rsidRPr="00D96C5C" w:rsidRDefault="00165F72" w:rsidP="00165F72">
      <w:pPr>
        <w:rPr>
          <w:rFonts w:cs="Arial"/>
        </w:rPr>
      </w:pP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00DC6A24" w:rsidRPr="00D96C5C">
        <w:rPr>
          <w:rFonts w:cs="Arial"/>
        </w:rPr>
        <w:t>LAW OFFICES OF JOEL H. HOLT</w:t>
      </w:r>
    </w:p>
    <w:p w14:paraId="1BA15DE7" w14:textId="77777777" w:rsidR="00165F72" w:rsidRPr="00D96C5C" w:rsidRDefault="00165F72" w:rsidP="00165F72">
      <w:pPr>
        <w:rPr>
          <w:rFonts w:cs="Arial"/>
        </w:rPr>
      </w:pP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t>2132 Company Street,</w:t>
      </w:r>
    </w:p>
    <w:p w14:paraId="189C2E8D" w14:textId="77777777" w:rsidR="00165F72" w:rsidRPr="00D96C5C" w:rsidRDefault="00165F72" w:rsidP="00165F72">
      <w:pPr>
        <w:rPr>
          <w:rFonts w:cs="Arial"/>
        </w:rPr>
      </w:pP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t>Christiansted, Vl 00820</w:t>
      </w:r>
    </w:p>
    <w:p w14:paraId="3AB2A393" w14:textId="77777777" w:rsidR="00165F72" w:rsidRPr="00D96C5C" w:rsidRDefault="00165F72" w:rsidP="00165F72">
      <w:pPr>
        <w:rPr>
          <w:rFonts w:cs="Arial"/>
        </w:rPr>
      </w:pP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t>Email: holtvi@aol.com</w:t>
      </w:r>
    </w:p>
    <w:p w14:paraId="723A1BC3" w14:textId="77777777" w:rsidR="00165F72" w:rsidRDefault="00165F72" w:rsidP="00165F72">
      <w:pPr>
        <w:rPr>
          <w:rFonts w:cs="Arial"/>
        </w:rPr>
      </w:pP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Pr>
          <w:rFonts w:cs="Arial"/>
        </w:rPr>
        <w:t>Phone</w:t>
      </w:r>
      <w:r w:rsidRPr="00D96C5C">
        <w:rPr>
          <w:rFonts w:cs="Arial"/>
        </w:rPr>
        <w:t xml:space="preserve">: (340) 773-8709/ </w:t>
      </w:r>
    </w:p>
    <w:p w14:paraId="7E5117C6" w14:textId="3137ADF5" w:rsidR="0004301D" w:rsidRDefault="00165F72" w:rsidP="00EA37CC">
      <w:pPr>
        <w:ind w:left="4320" w:firstLine="720"/>
        <w:rPr>
          <w:rFonts w:cs="Arial"/>
        </w:rPr>
      </w:pPr>
      <w:r w:rsidRPr="00D96C5C">
        <w:rPr>
          <w:rFonts w:cs="Arial"/>
        </w:rPr>
        <w:t>F</w:t>
      </w:r>
      <w:r>
        <w:rPr>
          <w:rFonts w:cs="Arial"/>
        </w:rPr>
        <w:t>ax</w:t>
      </w:r>
      <w:r w:rsidRPr="00D96C5C">
        <w:rPr>
          <w:rFonts w:cs="Arial"/>
        </w:rPr>
        <w:t>: (340) 773-8677</w:t>
      </w:r>
      <w:r w:rsidR="0004301D">
        <w:rPr>
          <w:rFonts w:cs="Arial"/>
        </w:rPr>
        <w:br w:type="page"/>
      </w:r>
    </w:p>
    <w:p w14:paraId="7E109977" w14:textId="77777777" w:rsidR="000C40D7" w:rsidRPr="00E3793A" w:rsidRDefault="000C40D7" w:rsidP="000C40D7">
      <w:pPr>
        <w:pStyle w:val="Heading4"/>
        <w:spacing w:before="118"/>
        <w:jc w:val="center"/>
        <w:rPr>
          <w:rFonts w:ascii="Arial" w:hAnsi="Arial" w:cs="Arial"/>
          <w:b/>
          <w:bCs/>
          <w:i w:val="0"/>
          <w:iCs w:val="0"/>
          <w:color w:val="000000" w:themeColor="text1"/>
          <w:spacing w:val="-2"/>
          <w:w w:val="95"/>
          <w:sz w:val="24"/>
          <w:szCs w:val="24"/>
        </w:rPr>
      </w:pPr>
      <w:r w:rsidRPr="00E3793A">
        <w:rPr>
          <w:rFonts w:ascii="Arial" w:hAnsi="Arial" w:cs="Arial"/>
          <w:b/>
          <w:bCs/>
          <w:i w:val="0"/>
          <w:iCs w:val="0"/>
          <w:color w:val="000000" w:themeColor="text1"/>
          <w:w w:val="95"/>
          <w:sz w:val="24"/>
          <w:szCs w:val="24"/>
        </w:rPr>
        <w:lastRenderedPageBreak/>
        <w:t>CERTIFICATE</w:t>
      </w:r>
      <w:r w:rsidRPr="00E3793A">
        <w:rPr>
          <w:rFonts w:ascii="Arial" w:hAnsi="Arial" w:cs="Arial"/>
          <w:b/>
          <w:bCs/>
          <w:i w:val="0"/>
          <w:iCs w:val="0"/>
          <w:color w:val="000000" w:themeColor="text1"/>
          <w:spacing w:val="4"/>
          <w:sz w:val="24"/>
          <w:szCs w:val="24"/>
        </w:rPr>
        <w:t xml:space="preserve"> </w:t>
      </w:r>
      <w:r w:rsidRPr="00E3793A">
        <w:rPr>
          <w:rFonts w:ascii="Arial" w:hAnsi="Arial" w:cs="Arial"/>
          <w:b/>
          <w:bCs/>
          <w:i w:val="0"/>
          <w:iCs w:val="0"/>
          <w:color w:val="000000" w:themeColor="text1"/>
          <w:w w:val="95"/>
          <w:sz w:val="24"/>
          <w:szCs w:val="24"/>
        </w:rPr>
        <w:t>OF</w:t>
      </w:r>
      <w:r w:rsidRPr="00E3793A">
        <w:rPr>
          <w:rFonts w:ascii="Arial" w:hAnsi="Arial" w:cs="Arial"/>
          <w:b/>
          <w:bCs/>
          <w:i w:val="0"/>
          <w:iCs w:val="0"/>
          <w:color w:val="000000" w:themeColor="text1"/>
          <w:spacing w:val="15"/>
          <w:sz w:val="24"/>
          <w:szCs w:val="24"/>
        </w:rPr>
        <w:t xml:space="preserve"> </w:t>
      </w:r>
      <w:r w:rsidRPr="00E3793A">
        <w:rPr>
          <w:rFonts w:ascii="Arial" w:hAnsi="Arial" w:cs="Arial"/>
          <w:b/>
          <w:bCs/>
          <w:i w:val="0"/>
          <w:iCs w:val="0"/>
          <w:color w:val="000000" w:themeColor="text1"/>
          <w:spacing w:val="-2"/>
          <w:w w:val="95"/>
          <w:sz w:val="24"/>
          <w:szCs w:val="24"/>
        </w:rPr>
        <w:t>SERVICE</w:t>
      </w:r>
    </w:p>
    <w:p w14:paraId="5DDC65F0" w14:textId="77777777" w:rsidR="000C40D7" w:rsidRDefault="000C40D7" w:rsidP="000C40D7">
      <w:pPr>
        <w:ind w:firstLine="720"/>
        <w:jc w:val="both"/>
        <w:outlineLvl w:val="0"/>
        <w:rPr>
          <w:rFonts w:cs="Arial"/>
          <w:color w:val="000000" w:themeColor="text1"/>
          <w:position w:val="1"/>
        </w:rPr>
      </w:pPr>
    </w:p>
    <w:p w14:paraId="6B3F7DD4" w14:textId="671325F9" w:rsidR="000C40D7" w:rsidRPr="00E3793A" w:rsidRDefault="000C40D7" w:rsidP="000C40D7">
      <w:pPr>
        <w:spacing w:line="480" w:lineRule="auto"/>
        <w:ind w:firstLine="720"/>
        <w:jc w:val="both"/>
        <w:outlineLvl w:val="0"/>
        <w:rPr>
          <w:rFonts w:cs="Arial"/>
          <w:color w:val="000000" w:themeColor="text1"/>
        </w:rPr>
      </w:pPr>
      <w:r w:rsidRPr="00E3793A">
        <w:rPr>
          <w:rFonts w:cs="Arial"/>
          <w:color w:val="000000" w:themeColor="text1"/>
          <w:position w:val="1"/>
        </w:rPr>
        <w:t xml:space="preserve">I </w:t>
      </w:r>
      <w:r w:rsidRPr="00E3793A">
        <w:rPr>
          <w:rFonts w:cs="Arial"/>
          <w:color w:val="000000" w:themeColor="text1"/>
        </w:rPr>
        <w:t>hereby</w:t>
      </w:r>
      <w:r w:rsidRPr="00E3793A">
        <w:rPr>
          <w:rFonts w:cs="Arial"/>
          <w:color w:val="000000" w:themeColor="text1"/>
          <w:spacing w:val="-8"/>
        </w:rPr>
        <w:t xml:space="preserve"> </w:t>
      </w:r>
      <w:r w:rsidRPr="00E3793A">
        <w:rPr>
          <w:rFonts w:cs="Arial"/>
          <w:color w:val="000000" w:themeColor="text1"/>
        </w:rPr>
        <w:t>certify</w:t>
      </w:r>
      <w:r w:rsidRPr="00E3793A">
        <w:rPr>
          <w:rFonts w:cs="Arial"/>
          <w:color w:val="000000" w:themeColor="text1"/>
          <w:spacing w:val="-8"/>
        </w:rPr>
        <w:t xml:space="preserve"> </w:t>
      </w:r>
      <w:r w:rsidRPr="00E3793A">
        <w:rPr>
          <w:rFonts w:cs="Arial"/>
          <w:color w:val="000000" w:themeColor="text1"/>
        </w:rPr>
        <w:t>that</w:t>
      </w:r>
      <w:r w:rsidR="00A61AA6">
        <w:rPr>
          <w:rFonts w:cs="Arial"/>
          <w:color w:val="000000" w:themeColor="text1"/>
        </w:rPr>
        <w:t xml:space="preserve">, discounting captions, headings, signatures, quotations </w:t>
      </w:r>
      <w:r w:rsidR="002D4A01">
        <w:rPr>
          <w:rFonts w:cs="Arial"/>
          <w:color w:val="000000" w:themeColor="text1"/>
        </w:rPr>
        <w:t>from</w:t>
      </w:r>
      <w:r w:rsidR="00A61AA6">
        <w:rPr>
          <w:rFonts w:cs="Arial"/>
          <w:color w:val="000000" w:themeColor="text1"/>
        </w:rPr>
        <w:t xml:space="preserve"> authority and recitation of the opposing party’s own text, </w:t>
      </w:r>
      <w:r w:rsidRPr="00E3793A">
        <w:rPr>
          <w:rFonts w:cs="Arial"/>
          <w:color w:val="000000" w:themeColor="text1"/>
        </w:rPr>
        <w:t>this</w:t>
      </w:r>
      <w:r w:rsidRPr="00E3793A">
        <w:rPr>
          <w:rFonts w:cs="Arial"/>
          <w:color w:val="000000" w:themeColor="text1"/>
          <w:spacing w:val="-8"/>
        </w:rPr>
        <w:t xml:space="preserve"> </w:t>
      </w:r>
      <w:r w:rsidRPr="00E3793A">
        <w:rPr>
          <w:rFonts w:cs="Arial"/>
          <w:color w:val="000000" w:themeColor="text1"/>
        </w:rPr>
        <w:t>document</w:t>
      </w:r>
      <w:r w:rsidRPr="00E3793A">
        <w:rPr>
          <w:rFonts w:cs="Arial"/>
          <w:color w:val="000000" w:themeColor="text1"/>
          <w:spacing w:val="-8"/>
        </w:rPr>
        <w:t xml:space="preserve"> </w:t>
      </w:r>
      <w:r w:rsidRPr="00E3793A">
        <w:rPr>
          <w:rFonts w:cs="Arial"/>
          <w:color w:val="000000" w:themeColor="text1"/>
        </w:rPr>
        <w:t>complies</w:t>
      </w:r>
      <w:r w:rsidRPr="00E3793A">
        <w:rPr>
          <w:rFonts w:cs="Arial"/>
          <w:color w:val="000000" w:themeColor="text1"/>
          <w:spacing w:val="-8"/>
        </w:rPr>
        <w:t xml:space="preserve"> </w:t>
      </w:r>
      <w:r w:rsidRPr="00E3793A">
        <w:rPr>
          <w:rFonts w:cs="Arial"/>
          <w:color w:val="000000" w:themeColor="text1"/>
        </w:rPr>
        <w:t>with</w:t>
      </w:r>
      <w:r w:rsidRPr="00E3793A">
        <w:rPr>
          <w:rFonts w:cs="Arial"/>
          <w:color w:val="000000" w:themeColor="text1"/>
          <w:spacing w:val="-6"/>
        </w:rPr>
        <w:t xml:space="preserve"> </w:t>
      </w:r>
      <w:r w:rsidRPr="00E3793A">
        <w:rPr>
          <w:rFonts w:cs="Arial"/>
          <w:color w:val="000000" w:themeColor="text1"/>
        </w:rPr>
        <w:t>the</w:t>
      </w:r>
      <w:r w:rsidRPr="00E3793A">
        <w:rPr>
          <w:rFonts w:cs="Arial"/>
          <w:color w:val="000000" w:themeColor="text1"/>
          <w:spacing w:val="-5"/>
        </w:rPr>
        <w:t xml:space="preserve"> </w:t>
      </w:r>
      <w:r w:rsidRPr="00E3793A">
        <w:rPr>
          <w:rFonts w:cs="Arial"/>
          <w:color w:val="000000" w:themeColor="text1"/>
        </w:rPr>
        <w:t>page</w:t>
      </w:r>
      <w:r w:rsidRPr="00E3793A">
        <w:rPr>
          <w:rFonts w:cs="Arial"/>
          <w:color w:val="000000" w:themeColor="text1"/>
          <w:spacing w:val="-3"/>
        </w:rPr>
        <w:t xml:space="preserve"> </w:t>
      </w:r>
      <w:r>
        <w:rPr>
          <w:rFonts w:cs="Arial"/>
          <w:color w:val="000000" w:themeColor="text1"/>
        </w:rPr>
        <w:t>and</w:t>
      </w:r>
      <w:r w:rsidRPr="00E3793A">
        <w:rPr>
          <w:rFonts w:cs="Arial"/>
          <w:color w:val="000000" w:themeColor="text1"/>
          <w:spacing w:val="-7"/>
        </w:rPr>
        <w:t xml:space="preserve"> </w:t>
      </w:r>
      <w:r w:rsidRPr="00E3793A">
        <w:rPr>
          <w:rFonts w:cs="Arial"/>
          <w:color w:val="000000" w:themeColor="text1"/>
        </w:rPr>
        <w:t>word</w:t>
      </w:r>
      <w:r w:rsidRPr="00E3793A">
        <w:rPr>
          <w:rFonts w:cs="Arial"/>
          <w:color w:val="000000" w:themeColor="text1"/>
          <w:spacing w:val="-3"/>
        </w:rPr>
        <w:t xml:space="preserve"> </w:t>
      </w:r>
      <w:r w:rsidRPr="00E3793A">
        <w:rPr>
          <w:rFonts w:cs="Arial"/>
          <w:color w:val="000000" w:themeColor="text1"/>
        </w:rPr>
        <w:t>limitation</w:t>
      </w:r>
      <w:r>
        <w:rPr>
          <w:rFonts w:cs="Arial"/>
          <w:color w:val="000000" w:themeColor="text1"/>
        </w:rPr>
        <w:t>s</w:t>
      </w:r>
      <w:r w:rsidRPr="00E3793A">
        <w:rPr>
          <w:rFonts w:cs="Arial"/>
          <w:color w:val="000000" w:themeColor="text1"/>
        </w:rPr>
        <w:t xml:space="preserve"> set forth in Rule 6-1(e) and that on </w:t>
      </w:r>
      <w:r w:rsidR="009C05CC">
        <w:rPr>
          <w:rFonts w:cs="Arial"/>
          <w:b/>
          <w:bCs/>
          <w:color w:val="000000" w:themeColor="text1"/>
        </w:rPr>
        <w:t xml:space="preserve">December </w:t>
      </w:r>
      <w:r w:rsidR="00FF29E4">
        <w:rPr>
          <w:rFonts w:cs="Arial"/>
          <w:b/>
          <w:bCs/>
          <w:color w:val="000000" w:themeColor="text1"/>
        </w:rPr>
        <w:t>2</w:t>
      </w:r>
      <w:r w:rsidR="002D4A01">
        <w:rPr>
          <w:rFonts w:cs="Arial"/>
          <w:b/>
          <w:bCs/>
          <w:color w:val="000000" w:themeColor="text1"/>
        </w:rPr>
        <w:t>6</w:t>
      </w:r>
      <w:r w:rsidRPr="000C40D7">
        <w:rPr>
          <w:rFonts w:cs="Arial"/>
          <w:b/>
          <w:bCs/>
          <w:color w:val="000000" w:themeColor="text1"/>
        </w:rPr>
        <w:t>, 2022</w:t>
      </w:r>
      <w:r w:rsidRPr="00E3793A">
        <w:rPr>
          <w:rFonts w:cs="Arial"/>
          <w:color w:val="000000" w:themeColor="text1"/>
        </w:rPr>
        <w:t xml:space="preserve">, I served a copy of the foregoing by </w:t>
      </w:r>
      <w:r w:rsidR="0004301D">
        <w:rPr>
          <w:rFonts w:cs="Arial"/>
          <w:color w:val="000000" w:themeColor="text1"/>
        </w:rPr>
        <w:t xml:space="preserve">email and </w:t>
      </w:r>
      <w:r>
        <w:rPr>
          <w:rFonts w:cs="Arial"/>
          <w:color w:val="000000" w:themeColor="text1"/>
        </w:rPr>
        <w:t>the Court’s E-File system</w:t>
      </w:r>
      <w:r w:rsidRPr="00E3793A">
        <w:rPr>
          <w:rFonts w:cs="Arial"/>
          <w:color w:val="000000" w:themeColor="text1"/>
        </w:rPr>
        <w:t>, as agreed by the parties</w:t>
      </w:r>
      <w:r w:rsidR="0004301D">
        <w:rPr>
          <w:rFonts w:cs="Arial"/>
          <w:color w:val="000000" w:themeColor="text1"/>
        </w:rPr>
        <w:t>, to:</w:t>
      </w:r>
    </w:p>
    <w:p w14:paraId="257A9643" w14:textId="77777777" w:rsidR="00165F72" w:rsidRPr="000C40D7" w:rsidRDefault="00165F72" w:rsidP="000C40D7">
      <w:pPr>
        <w:jc w:val="both"/>
        <w:outlineLvl w:val="0"/>
        <w:rPr>
          <w:rFonts w:cs="Arial"/>
          <w:w w:val="105"/>
        </w:rPr>
      </w:pPr>
      <w:r w:rsidRPr="000C40D7">
        <w:rPr>
          <w:rFonts w:cs="Arial"/>
          <w:b/>
          <w:bCs/>
          <w:w w:val="105"/>
        </w:rPr>
        <w:t xml:space="preserve">James Hymes </w:t>
      </w:r>
      <w:r w:rsidRPr="000C40D7">
        <w:rPr>
          <w:rFonts w:cs="Arial"/>
          <w:b/>
          <w:w w:val="105"/>
        </w:rPr>
        <w:t>III</w:t>
      </w:r>
      <w:r w:rsidRPr="000C40D7">
        <w:rPr>
          <w:rFonts w:cs="Arial"/>
          <w:w w:val="105"/>
        </w:rPr>
        <w:t xml:space="preserve">, </w:t>
      </w:r>
      <w:r w:rsidRPr="000C40D7">
        <w:rPr>
          <w:rFonts w:cs="Arial"/>
          <w:b/>
          <w:w w:val="105"/>
        </w:rPr>
        <w:t>Esq.</w:t>
      </w:r>
    </w:p>
    <w:p w14:paraId="6AE348DA" w14:textId="4CA8EB5A" w:rsidR="00165F72" w:rsidRPr="000C40D7" w:rsidRDefault="00165F72" w:rsidP="000C40D7">
      <w:pPr>
        <w:kinsoku w:val="0"/>
        <w:overflowPunct w:val="0"/>
        <w:adjustRightInd w:val="0"/>
        <w:jc w:val="both"/>
        <w:outlineLvl w:val="0"/>
        <w:rPr>
          <w:rFonts w:cs="Arial"/>
          <w:i/>
          <w:iCs/>
          <w:w w:val="105"/>
        </w:rPr>
      </w:pPr>
      <w:r w:rsidRPr="000C40D7">
        <w:rPr>
          <w:rFonts w:cs="Arial"/>
          <w:i/>
          <w:iCs/>
          <w:w w:val="105"/>
        </w:rPr>
        <w:t xml:space="preserve">Counsel for </w:t>
      </w:r>
      <w:r w:rsidR="000C40D7">
        <w:rPr>
          <w:rFonts w:cs="Arial"/>
          <w:i/>
          <w:iCs/>
          <w:w w:val="105"/>
        </w:rPr>
        <w:t xml:space="preserve">Defendants </w:t>
      </w:r>
      <w:r w:rsidRPr="000C40D7">
        <w:rPr>
          <w:rFonts w:cs="Arial"/>
          <w:i/>
          <w:iCs/>
          <w:w w:val="105"/>
        </w:rPr>
        <w:t>Isam and Jamil Yous</w:t>
      </w:r>
      <w:r w:rsidR="00033207" w:rsidRPr="000C40D7">
        <w:rPr>
          <w:rFonts w:cs="Arial"/>
          <w:i/>
          <w:iCs/>
          <w:w w:val="105"/>
        </w:rPr>
        <w:t>u</w:t>
      </w:r>
      <w:r w:rsidRPr="000C40D7">
        <w:rPr>
          <w:rFonts w:cs="Arial"/>
          <w:i/>
          <w:iCs/>
          <w:w w:val="105"/>
        </w:rPr>
        <w:t>f</w:t>
      </w:r>
    </w:p>
    <w:p w14:paraId="56A9DE1F" w14:textId="77777777" w:rsidR="00033207" w:rsidRPr="000C40D7" w:rsidRDefault="00165F72" w:rsidP="000C40D7">
      <w:pPr>
        <w:adjustRightInd w:val="0"/>
        <w:jc w:val="both"/>
        <w:outlineLvl w:val="0"/>
        <w:rPr>
          <w:rFonts w:cs="Arial"/>
        </w:rPr>
      </w:pPr>
      <w:r w:rsidRPr="000C40D7">
        <w:rPr>
          <w:rFonts w:cs="Arial"/>
        </w:rPr>
        <w:t xml:space="preserve">LAW OFFICES OF JAMES L. </w:t>
      </w:r>
    </w:p>
    <w:p w14:paraId="2C6EBC19" w14:textId="3222BE57" w:rsidR="00165F72" w:rsidRPr="000C40D7" w:rsidRDefault="003065FE" w:rsidP="000C40D7">
      <w:pPr>
        <w:adjustRightInd w:val="0"/>
        <w:jc w:val="both"/>
        <w:outlineLvl w:val="0"/>
        <w:rPr>
          <w:rFonts w:cs="Arial"/>
        </w:rPr>
      </w:pPr>
      <w:r>
        <w:rPr>
          <w:rFonts w:cs="Arial"/>
        </w:rPr>
        <w:t xml:space="preserve">  </w:t>
      </w:r>
      <w:r w:rsidR="00165F72" w:rsidRPr="000C40D7">
        <w:rPr>
          <w:rFonts w:cs="Arial"/>
        </w:rPr>
        <w:t>HYMES, III, P.C.</w:t>
      </w:r>
    </w:p>
    <w:p w14:paraId="2F32C9F3" w14:textId="77777777" w:rsidR="00165F72" w:rsidRPr="000C40D7" w:rsidRDefault="00165F72" w:rsidP="000C40D7">
      <w:pPr>
        <w:adjustRightInd w:val="0"/>
        <w:jc w:val="both"/>
        <w:outlineLvl w:val="0"/>
        <w:rPr>
          <w:rFonts w:cs="Arial"/>
        </w:rPr>
      </w:pPr>
      <w:r w:rsidRPr="000C40D7">
        <w:rPr>
          <w:rFonts w:cs="Arial"/>
        </w:rPr>
        <w:t>P.O. Box 990</w:t>
      </w:r>
    </w:p>
    <w:p w14:paraId="4A7A31F7" w14:textId="77777777" w:rsidR="00165F72" w:rsidRPr="000C40D7" w:rsidRDefault="00165F72" w:rsidP="000C40D7">
      <w:pPr>
        <w:adjustRightInd w:val="0"/>
        <w:jc w:val="both"/>
        <w:outlineLvl w:val="0"/>
        <w:rPr>
          <w:rFonts w:cs="Arial"/>
        </w:rPr>
      </w:pPr>
      <w:r w:rsidRPr="000C40D7">
        <w:rPr>
          <w:rFonts w:cs="Arial"/>
        </w:rPr>
        <w:t>St. Thomas, VI 00804-0990</w:t>
      </w:r>
    </w:p>
    <w:p w14:paraId="4CDB9D88" w14:textId="77777777" w:rsidR="00165F72" w:rsidRPr="000C40D7" w:rsidRDefault="00165F72" w:rsidP="000C40D7">
      <w:pPr>
        <w:adjustRightInd w:val="0"/>
        <w:jc w:val="both"/>
        <w:outlineLvl w:val="0"/>
        <w:rPr>
          <w:rFonts w:cs="Arial"/>
        </w:rPr>
      </w:pPr>
      <w:r w:rsidRPr="000C40D7">
        <w:rPr>
          <w:rFonts w:cs="Arial"/>
        </w:rPr>
        <w:t>Tel: (340) 776-3470</w:t>
      </w:r>
    </w:p>
    <w:p w14:paraId="20374B37" w14:textId="77777777" w:rsidR="00165F72" w:rsidRPr="000C40D7" w:rsidRDefault="00165F72" w:rsidP="000C40D7">
      <w:pPr>
        <w:adjustRightInd w:val="0"/>
        <w:jc w:val="both"/>
        <w:outlineLvl w:val="0"/>
        <w:rPr>
          <w:rFonts w:cs="Arial"/>
        </w:rPr>
      </w:pPr>
      <w:r w:rsidRPr="000C40D7">
        <w:rPr>
          <w:rFonts w:cs="Arial"/>
        </w:rPr>
        <w:t>Fax: (340) 775-3300</w:t>
      </w:r>
    </w:p>
    <w:p w14:paraId="044D4A89" w14:textId="1C819605" w:rsidR="00165F72" w:rsidRPr="000C40D7" w:rsidRDefault="00B370E9" w:rsidP="000C40D7">
      <w:pPr>
        <w:jc w:val="both"/>
        <w:outlineLvl w:val="0"/>
        <w:rPr>
          <w:rFonts w:cs="Arial"/>
          <w:lang w:val="fr-FR"/>
        </w:rPr>
      </w:pPr>
      <w:r w:rsidRPr="000C40D7">
        <w:rPr>
          <w:rFonts w:cs="Arial"/>
          <w:lang w:val="fr-FR"/>
        </w:rPr>
        <w:t>jim@hymeslawvi.com</w:t>
      </w:r>
    </w:p>
    <w:p w14:paraId="24311D2C" w14:textId="0759B949" w:rsidR="00165F72" w:rsidRPr="000C40D7" w:rsidRDefault="00165F72" w:rsidP="000C40D7">
      <w:pPr>
        <w:kinsoku w:val="0"/>
        <w:overflowPunct w:val="0"/>
        <w:adjustRightInd w:val="0"/>
        <w:jc w:val="both"/>
        <w:outlineLvl w:val="0"/>
        <w:rPr>
          <w:rFonts w:cs="Arial"/>
          <w:color w:val="313131"/>
          <w:w w:val="105"/>
        </w:rPr>
      </w:pPr>
    </w:p>
    <w:p w14:paraId="21B69C73" w14:textId="37507F94" w:rsidR="00165F72" w:rsidRPr="000C40D7" w:rsidRDefault="00165F72" w:rsidP="000C40D7">
      <w:pPr>
        <w:kinsoku w:val="0"/>
        <w:overflowPunct w:val="0"/>
        <w:adjustRightInd w:val="0"/>
        <w:jc w:val="both"/>
        <w:outlineLvl w:val="0"/>
        <w:rPr>
          <w:rFonts w:cs="Arial"/>
          <w:b/>
          <w:w w:val="105"/>
        </w:rPr>
      </w:pPr>
      <w:r w:rsidRPr="000C40D7">
        <w:rPr>
          <w:rFonts w:cs="Arial"/>
          <w:b/>
          <w:w w:val="105"/>
        </w:rPr>
        <w:t xml:space="preserve">Charlotte </w:t>
      </w:r>
      <w:r w:rsidR="008B717C" w:rsidRPr="000C40D7">
        <w:rPr>
          <w:rFonts w:cs="Arial"/>
          <w:b/>
          <w:w w:val="105"/>
        </w:rPr>
        <w:t xml:space="preserve">K. </w:t>
      </w:r>
      <w:r w:rsidRPr="000C40D7">
        <w:rPr>
          <w:rFonts w:cs="Arial"/>
          <w:b/>
          <w:w w:val="105"/>
        </w:rPr>
        <w:t>Perrell, Esq.</w:t>
      </w:r>
    </w:p>
    <w:p w14:paraId="759CB5A0" w14:textId="5D4F54CE" w:rsidR="00165F72" w:rsidRPr="000C40D7" w:rsidRDefault="00165F72" w:rsidP="000C40D7">
      <w:pPr>
        <w:kinsoku w:val="0"/>
        <w:overflowPunct w:val="0"/>
        <w:adjustRightInd w:val="0"/>
        <w:jc w:val="both"/>
        <w:outlineLvl w:val="0"/>
        <w:rPr>
          <w:rFonts w:cs="Arial"/>
          <w:b/>
          <w:w w:val="105"/>
        </w:rPr>
      </w:pPr>
      <w:r w:rsidRPr="000C40D7">
        <w:rPr>
          <w:rFonts w:cs="Arial"/>
          <w:b/>
          <w:w w:val="105"/>
        </w:rPr>
        <w:t xml:space="preserve">Stefan </w:t>
      </w:r>
      <w:r w:rsidR="008B717C" w:rsidRPr="000C40D7">
        <w:rPr>
          <w:rFonts w:cs="Arial"/>
          <w:b/>
          <w:w w:val="105"/>
        </w:rPr>
        <w:t xml:space="preserve">B. </w:t>
      </w:r>
      <w:r w:rsidRPr="000C40D7">
        <w:rPr>
          <w:rFonts w:cs="Arial"/>
          <w:b/>
          <w:w w:val="105"/>
        </w:rPr>
        <w:t>Herpel, Esq.</w:t>
      </w:r>
    </w:p>
    <w:p w14:paraId="07BA0993" w14:textId="3474FC88" w:rsidR="00165F72" w:rsidRPr="000C40D7" w:rsidRDefault="00DC6A24" w:rsidP="000C40D7">
      <w:pPr>
        <w:kinsoku w:val="0"/>
        <w:overflowPunct w:val="0"/>
        <w:adjustRightInd w:val="0"/>
        <w:jc w:val="both"/>
        <w:outlineLvl w:val="0"/>
        <w:rPr>
          <w:rFonts w:cs="Arial"/>
          <w:i/>
          <w:w w:val="105"/>
        </w:rPr>
      </w:pPr>
      <w:r w:rsidRPr="000C40D7">
        <w:rPr>
          <w:rFonts w:cs="Arial"/>
          <w:i/>
          <w:w w:val="105"/>
        </w:rPr>
        <w:t>Counsel</w:t>
      </w:r>
      <w:r w:rsidR="00165F72" w:rsidRPr="000C40D7">
        <w:rPr>
          <w:rFonts w:cs="Arial"/>
          <w:i/>
          <w:w w:val="105"/>
        </w:rPr>
        <w:t xml:space="preserve"> for</w:t>
      </w:r>
      <w:r w:rsidR="00033207" w:rsidRPr="000C40D7">
        <w:rPr>
          <w:rFonts w:cs="Arial"/>
          <w:i/>
          <w:w w:val="105"/>
        </w:rPr>
        <w:t xml:space="preserve"> Defenda</w:t>
      </w:r>
      <w:r w:rsidRPr="000C40D7">
        <w:rPr>
          <w:rFonts w:cs="Arial"/>
          <w:i/>
          <w:w w:val="105"/>
        </w:rPr>
        <w:t>n</w:t>
      </w:r>
      <w:r w:rsidR="00033207" w:rsidRPr="000C40D7">
        <w:rPr>
          <w:rFonts w:cs="Arial"/>
          <w:i/>
          <w:w w:val="105"/>
        </w:rPr>
        <w:t>t</w:t>
      </w:r>
      <w:r w:rsidR="00165F72" w:rsidRPr="000C40D7">
        <w:rPr>
          <w:rFonts w:cs="Arial"/>
          <w:i/>
          <w:w w:val="105"/>
        </w:rPr>
        <w:t xml:space="preserve"> Fathi Yusuf</w:t>
      </w:r>
    </w:p>
    <w:p w14:paraId="2065DD6A" w14:textId="77777777" w:rsidR="00033207" w:rsidRPr="000C40D7" w:rsidRDefault="00165F72" w:rsidP="000C40D7">
      <w:pPr>
        <w:adjustRightInd w:val="0"/>
        <w:jc w:val="both"/>
        <w:outlineLvl w:val="0"/>
        <w:rPr>
          <w:rFonts w:cs="Arial"/>
          <w:color w:val="212121"/>
        </w:rPr>
      </w:pPr>
      <w:r w:rsidRPr="000C40D7">
        <w:rPr>
          <w:rFonts w:cs="Arial"/>
          <w:color w:val="212121"/>
        </w:rPr>
        <w:t xml:space="preserve">DUDLEY NEWMAN </w:t>
      </w:r>
    </w:p>
    <w:p w14:paraId="070E12FD" w14:textId="6902809D" w:rsidR="00165F72" w:rsidRPr="000C40D7" w:rsidRDefault="003065FE" w:rsidP="000C40D7">
      <w:pPr>
        <w:adjustRightInd w:val="0"/>
        <w:jc w:val="both"/>
        <w:outlineLvl w:val="0"/>
        <w:rPr>
          <w:rFonts w:cs="Arial"/>
          <w:color w:val="212121"/>
        </w:rPr>
      </w:pPr>
      <w:r>
        <w:rPr>
          <w:rFonts w:cs="Arial"/>
          <w:color w:val="212121"/>
        </w:rPr>
        <w:t xml:space="preserve">  </w:t>
      </w:r>
      <w:r w:rsidR="00165F72" w:rsidRPr="000C40D7">
        <w:rPr>
          <w:rFonts w:cs="Arial"/>
          <w:color w:val="212121"/>
        </w:rPr>
        <w:t>FEUERZEIG LLP</w:t>
      </w:r>
    </w:p>
    <w:p w14:paraId="3A0F75F9" w14:textId="77777777" w:rsidR="00033207" w:rsidRPr="000C40D7" w:rsidRDefault="00165F72" w:rsidP="000C40D7">
      <w:pPr>
        <w:adjustRightInd w:val="0"/>
        <w:jc w:val="both"/>
        <w:outlineLvl w:val="0"/>
        <w:rPr>
          <w:rFonts w:cs="Arial"/>
          <w:color w:val="212121"/>
        </w:rPr>
      </w:pPr>
      <w:r w:rsidRPr="000C40D7">
        <w:rPr>
          <w:rFonts w:cs="Arial"/>
          <w:color w:val="212121"/>
        </w:rPr>
        <w:t xml:space="preserve">Law House </w:t>
      </w:r>
    </w:p>
    <w:p w14:paraId="41FB2B6F" w14:textId="703EF37A" w:rsidR="00165F72" w:rsidRPr="000C40D7" w:rsidRDefault="00165F72" w:rsidP="000C40D7">
      <w:pPr>
        <w:adjustRightInd w:val="0"/>
        <w:jc w:val="both"/>
        <w:outlineLvl w:val="0"/>
        <w:rPr>
          <w:rFonts w:cs="Arial"/>
          <w:color w:val="212121"/>
        </w:rPr>
      </w:pPr>
      <w:r w:rsidRPr="000C40D7">
        <w:rPr>
          <w:rFonts w:cs="Arial"/>
          <w:color w:val="212121"/>
        </w:rPr>
        <w:t>1000 Frederiksberg Gade</w:t>
      </w:r>
    </w:p>
    <w:p w14:paraId="5BBE0BA7" w14:textId="77777777" w:rsidR="00165F72" w:rsidRPr="000C40D7" w:rsidRDefault="00165F72" w:rsidP="000C40D7">
      <w:pPr>
        <w:adjustRightInd w:val="0"/>
        <w:jc w:val="both"/>
        <w:outlineLvl w:val="0"/>
        <w:rPr>
          <w:rFonts w:cs="Arial"/>
          <w:color w:val="212121"/>
        </w:rPr>
      </w:pPr>
      <w:r w:rsidRPr="000C40D7">
        <w:rPr>
          <w:rFonts w:cs="Arial"/>
          <w:color w:val="212121"/>
        </w:rPr>
        <w:t>P.O. Box 756</w:t>
      </w:r>
    </w:p>
    <w:p w14:paraId="24D1E6B4" w14:textId="77777777" w:rsidR="00165F72" w:rsidRPr="000C40D7" w:rsidRDefault="00165F72" w:rsidP="000C40D7">
      <w:pPr>
        <w:adjustRightInd w:val="0"/>
        <w:jc w:val="both"/>
        <w:outlineLvl w:val="0"/>
        <w:rPr>
          <w:rFonts w:cs="Arial"/>
          <w:color w:val="212121"/>
        </w:rPr>
      </w:pPr>
      <w:r w:rsidRPr="000C40D7">
        <w:rPr>
          <w:rFonts w:cs="Arial"/>
          <w:color w:val="212121"/>
        </w:rPr>
        <w:t>St. Thomas, VI 00804-0756</w:t>
      </w:r>
    </w:p>
    <w:p w14:paraId="238C437C" w14:textId="77777777" w:rsidR="00165F72" w:rsidRPr="000C40D7" w:rsidRDefault="00165F72" w:rsidP="000C40D7">
      <w:pPr>
        <w:adjustRightInd w:val="0"/>
        <w:jc w:val="both"/>
        <w:outlineLvl w:val="0"/>
        <w:rPr>
          <w:rFonts w:cs="Arial"/>
        </w:rPr>
      </w:pPr>
      <w:r w:rsidRPr="000C40D7">
        <w:rPr>
          <w:rFonts w:cs="Arial"/>
        </w:rPr>
        <w:t>Tel: (340) 774-4422</w:t>
      </w:r>
    </w:p>
    <w:p w14:paraId="646C438E" w14:textId="051B3892" w:rsidR="000C40D7" w:rsidRDefault="000C40D7" w:rsidP="000C40D7">
      <w:pPr>
        <w:adjustRightInd w:val="0"/>
        <w:jc w:val="both"/>
        <w:outlineLvl w:val="0"/>
        <w:rPr>
          <w:rFonts w:cs="Arial"/>
        </w:rPr>
      </w:pPr>
      <w:r w:rsidRPr="000C40D7">
        <w:rPr>
          <w:rFonts w:cs="Arial"/>
        </w:rPr>
        <w:t>cperrell@dnfvi.com</w:t>
      </w:r>
      <w:r w:rsidR="00165F72" w:rsidRPr="000C40D7">
        <w:rPr>
          <w:rFonts w:cs="Arial"/>
        </w:rPr>
        <w:t xml:space="preserve">, </w:t>
      </w:r>
    </w:p>
    <w:p w14:paraId="7E506289" w14:textId="7C87684D" w:rsidR="008B717C" w:rsidRPr="000C40D7" w:rsidRDefault="00DC6A24" w:rsidP="000C40D7">
      <w:pPr>
        <w:adjustRightInd w:val="0"/>
        <w:jc w:val="both"/>
        <w:outlineLvl w:val="0"/>
        <w:rPr>
          <w:rFonts w:cs="Arial"/>
        </w:rPr>
      </w:pPr>
      <w:r w:rsidRPr="000C40D7">
        <w:rPr>
          <w:rFonts w:cs="Arial"/>
        </w:rPr>
        <w:t>sherpel@dnfvi.com</w:t>
      </w:r>
    </w:p>
    <w:p w14:paraId="0A8CB47F" w14:textId="7B415433" w:rsidR="00DC6A24" w:rsidRPr="000C40D7" w:rsidRDefault="00DC6A24" w:rsidP="000C40D7">
      <w:pPr>
        <w:adjustRightInd w:val="0"/>
        <w:jc w:val="both"/>
        <w:outlineLvl w:val="0"/>
        <w:rPr>
          <w:rFonts w:cs="Arial"/>
        </w:rPr>
      </w:pPr>
    </w:p>
    <w:p w14:paraId="0EE3467C" w14:textId="77777777" w:rsidR="00DC6A24" w:rsidRPr="000C40D7" w:rsidRDefault="00DC6A24" w:rsidP="000C40D7">
      <w:pPr>
        <w:adjustRightInd w:val="0"/>
        <w:jc w:val="both"/>
        <w:outlineLvl w:val="0"/>
        <w:rPr>
          <w:rFonts w:eastAsiaTheme="minorHAnsi" w:cs="Arial"/>
          <w:b/>
          <w:bCs/>
        </w:rPr>
      </w:pPr>
      <w:r w:rsidRPr="000C40D7">
        <w:rPr>
          <w:rFonts w:eastAsiaTheme="minorHAnsi" w:cs="Arial"/>
          <w:b/>
          <w:bCs/>
        </w:rPr>
        <w:t xml:space="preserve">Kevin A. Rames, Esq. </w:t>
      </w:r>
    </w:p>
    <w:p w14:paraId="5202C52F" w14:textId="77777777" w:rsidR="00DC6A24" w:rsidRPr="000C40D7" w:rsidRDefault="00DC6A24" w:rsidP="000C40D7">
      <w:pPr>
        <w:adjustRightInd w:val="0"/>
        <w:jc w:val="both"/>
        <w:outlineLvl w:val="0"/>
        <w:rPr>
          <w:rFonts w:eastAsiaTheme="minorHAnsi" w:cs="Arial"/>
          <w:i/>
          <w:iCs/>
        </w:rPr>
      </w:pPr>
      <w:r w:rsidRPr="000C40D7">
        <w:rPr>
          <w:rFonts w:eastAsiaTheme="minorHAnsi" w:cs="Arial"/>
          <w:i/>
          <w:iCs/>
        </w:rPr>
        <w:t xml:space="preserve">Counsel for Nominal Defendant </w:t>
      </w:r>
    </w:p>
    <w:p w14:paraId="72342378" w14:textId="7A5F9169" w:rsidR="00DC6A24" w:rsidRPr="000C40D7" w:rsidRDefault="003065FE" w:rsidP="000C40D7">
      <w:pPr>
        <w:adjustRightInd w:val="0"/>
        <w:jc w:val="both"/>
        <w:outlineLvl w:val="0"/>
        <w:rPr>
          <w:rFonts w:cs="Arial"/>
          <w:i/>
          <w:iCs/>
        </w:rPr>
      </w:pPr>
      <w:r>
        <w:rPr>
          <w:rFonts w:eastAsiaTheme="minorHAnsi" w:cs="Arial"/>
          <w:i/>
          <w:iCs/>
        </w:rPr>
        <w:t xml:space="preserve">  </w:t>
      </w:r>
      <w:r w:rsidR="00DC6A24" w:rsidRPr="000C40D7">
        <w:rPr>
          <w:rFonts w:eastAsiaTheme="minorHAnsi" w:cs="Arial"/>
          <w:i/>
          <w:iCs/>
        </w:rPr>
        <w:t xml:space="preserve"> Sixteen Plus Corporation</w:t>
      </w:r>
    </w:p>
    <w:p w14:paraId="554198B8" w14:textId="114CEF52" w:rsidR="00DC6A24" w:rsidRPr="000C40D7" w:rsidRDefault="00DC6A24" w:rsidP="000C40D7">
      <w:pPr>
        <w:autoSpaceDE w:val="0"/>
        <w:autoSpaceDN w:val="0"/>
        <w:adjustRightInd w:val="0"/>
        <w:jc w:val="both"/>
        <w:outlineLvl w:val="0"/>
        <w:rPr>
          <w:rFonts w:eastAsiaTheme="minorHAnsi" w:cs="Arial"/>
        </w:rPr>
      </w:pPr>
      <w:r w:rsidRPr="000C40D7">
        <w:rPr>
          <w:rFonts w:eastAsiaTheme="minorHAnsi" w:cs="Arial"/>
        </w:rPr>
        <w:t>2111 Company Street, Suite 3</w:t>
      </w:r>
    </w:p>
    <w:p w14:paraId="508CBADC" w14:textId="77777777" w:rsidR="00DC6A24" w:rsidRPr="000C40D7" w:rsidRDefault="00DC6A24" w:rsidP="000C40D7">
      <w:pPr>
        <w:autoSpaceDE w:val="0"/>
        <w:autoSpaceDN w:val="0"/>
        <w:adjustRightInd w:val="0"/>
        <w:jc w:val="both"/>
        <w:outlineLvl w:val="0"/>
        <w:rPr>
          <w:rFonts w:eastAsiaTheme="minorHAnsi" w:cs="Arial"/>
        </w:rPr>
      </w:pPr>
      <w:r w:rsidRPr="000C40D7">
        <w:rPr>
          <w:rFonts w:eastAsiaTheme="minorHAnsi" w:cs="Arial"/>
        </w:rPr>
        <w:t>Christiansted, VI 00820</w:t>
      </w:r>
    </w:p>
    <w:p w14:paraId="41E978F7" w14:textId="7CBE0560" w:rsidR="00DC6A24" w:rsidRPr="000C40D7" w:rsidRDefault="00DC6A24" w:rsidP="000C40D7">
      <w:pPr>
        <w:autoSpaceDE w:val="0"/>
        <w:autoSpaceDN w:val="0"/>
        <w:adjustRightInd w:val="0"/>
        <w:jc w:val="both"/>
        <w:outlineLvl w:val="0"/>
        <w:rPr>
          <w:rFonts w:eastAsiaTheme="minorHAnsi" w:cs="Arial"/>
        </w:rPr>
      </w:pPr>
      <w:r w:rsidRPr="000C40D7">
        <w:rPr>
          <w:rFonts w:eastAsiaTheme="minorHAnsi" w:cs="Arial"/>
        </w:rPr>
        <w:t>Phone: (340) 773-7284</w:t>
      </w:r>
    </w:p>
    <w:p w14:paraId="34D27CEA" w14:textId="71B94F40" w:rsidR="00DC6A24" w:rsidRDefault="00DC6A24" w:rsidP="000C40D7">
      <w:pPr>
        <w:autoSpaceDE w:val="0"/>
        <w:autoSpaceDN w:val="0"/>
        <w:adjustRightInd w:val="0"/>
        <w:jc w:val="both"/>
        <w:outlineLvl w:val="0"/>
        <w:rPr>
          <w:rFonts w:eastAsiaTheme="minorHAnsi" w:cs="Arial"/>
        </w:rPr>
      </w:pPr>
      <w:r w:rsidRPr="000C40D7">
        <w:rPr>
          <w:rFonts w:eastAsiaTheme="minorHAnsi" w:cs="Arial"/>
        </w:rPr>
        <w:t>Fax: (340) 773 -7282</w:t>
      </w:r>
    </w:p>
    <w:p w14:paraId="6D224D72" w14:textId="62481186" w:rsidR="000C40D7" w:rsidRPr="000C40D7" w:rsidRDefault="000C40D7" w:rsidP="000C40D7">
      <w:pPr>
        <w:autoSpaceDE w:val="0"/>
        <w:autoSpaceDN w:val="0"/>
        <w:adjustRightInd w:val="0"/>
        <w:jc w:val="both"/>
        <w:outlineLvl w:val="0"/>
        <w:rPr>
          <w:rFonts w:eastAsiaTheme="minorHAnsi" w:cs="Arial"/>
        </w:rPr>
      </w:pPr>
      <w:r w:rsidRPr="000C40D7">
        <w:rPr>
          <w:rFonts w:eastAsiaTheme="minorHAnsi" w:cs="Arial"/>
        </w:rPr>
        <w:t>kevin.rames@rameslaw.com</w:t>
      </w:r>
    </w:p>
    <w:p w14:paraId="507E16F0" w14:textId="6F47C0A5" w:rsidR="00165F72" w:rsidRDefault="000C40D7" w:rsidP="000C40D7">
      <w:pPr>
        <w:jc w:val="both"/>
        <w:outlineLvl w:val="0"/>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0C40D7">
        <w:rPr>
          <w:rFonts w:cs="Arial"/>
          <w:u w:val="single"/>
        </w:rPr>
        <w:t xml:space="preserve">/s/ </w:t>
      </w:r>
      <w:r w:rsidR="0004301D">
        <w:rPr>
          <w:rFonts w:cs="Arial"/>
          <w:u w:val="single"/>
        </w:rPr>
        <w:t>Carl J. Hartmann</w:t>
      </w:r>
      <w:r w:rsidRPr="000C40D7">
        <w:rPr>
          <w:rFonts w:cs="Arial"/>
          <w:u w:val="single"/>
        </w:rPr>
        <w:tab/>
      </w:r>
      <w:r w:rsidRPr="000C40D7">
        <w:rPr>
          <w:rFonts w:cs="Arial"/>
          <w:u w:val="single"/>
        </w:rPr>
        <w:tab/>
      </w:r>
    </w:p>
    <w:p w14:paraId="2EB65BCD" w14:textId="77777777" w:rsidR="007B04CA" w:rsidRDefault="007B04CA" w:rsidP="000C40D7">
      <w:pPr>
        <w:jc w:val="both"/>
        <w:outlineLvl w:val="0"/>
        <w:rPr>
          <w:rFonts w:cs="Arial"/>
          <w:u w:val="single"/>
        </w:rPr>
      </w:pPr>
    </w:p>
    <w:sectPr w:rsidR="007B04CA" w:rsidSect="000A7D63">
      <w:headerReference w:type="default" r:id="rId8"/>
      <w:footerReference w:type="even" r:id="rId9"/>
      <w:headerReference w:type="first" r:id="rId10"/>
      <w:pgSz w:w="11900" w:h="16840"/>
      <w:pgMar w:top="864" w:right="1152" w:bottom="576"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374A" w14:textId="77777777" w:rsidR="00333068" w:rsidRDefault="00333068" w:rsidP="00165F72">
      <w:r>
        <w:separator/>
      </w:r>
    </w:p>
  </w:endnote>
  <w:endnote w:type="continuationSeparator" w:id="0">
    <w:p w14:paraId="024FEBF4" w14:textId="77777777" w:rsidR="00333068" w:rsidRDefault="00333068" w:rsidP="0016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Hartmann">
    <w:panose1 w:val="02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7177419"/>
      <w:docPartObj>
        <w:docPartGallery w:val="Page Numbers (Bottom of Page)"/>
        <w:docPartUnique/>
      </w:docPartObj>
    </w:sdtPr>
    <w:sdtContent>
      <w:p w14:paraId="1EBF64C5" w14:textId="4F83BC29" w:rsidR="00165F72" w:rsidRDefault="00165F72" w:rsidP="003117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7A3E93" w14:textId="77777777" w:rsidR="00165F72" w:rsidRDefault="00165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56BD" w14:textId="77777777" w:rsidR="00333068" w:rsidRDefault="00333068" w:rsidP="00165F72">
      <w:r>
        <w:separator/>
      </w:r>
    </w:p>
  </w:footnote>
  <w:footnote w:type="continuationSeparator" w:id="0">
    <w:p w14:paraId="4B3C134D" w14:textId="77777777" w:rsidR="00333068" w:rsidRDefault="00333068" w:rsidP="00165F72">
      <w:r>
        <w:continuationSeparator/>
      </w:r>
    </w:p>
  </w:footnote>
  <w:footnote w:id="1">
    <w:p w14:paraId="12BBD303" w14:textId="167569A4" w:rsidR="0089735D" w:rsidRDefault="0089735D" w:rsidP="0089735D">
      <w:pPr>
        <w:pStyle w:val="FootnoteText"/>
        <w:jc w:val="both"/>
        <w:outlineLvl w:val="0"/>
      </w:pPr>
      <w:r>
        <w:rPr>
          <w:rStyle w:val="FootnoteReference"/>
        </w:rPr>
        <w:footnoteRef/>
      </w:r>
      <w:r>
        <w:t xml:space="preserve"> </w:t>
      </w:r>
      <w:r w:rsidRPr="0089735D">
        <w:rPr>
          <w:rFonts w:ascii="Arial" w:hAnsi="Arial" w:cs="Arial"/>
          <w:sz w:val="24"/>
        </w:rPr>
        <w:t xml:space="preserve">Hamed uses the first names of the defendants </w:t>
      </w:r>
      <w:r>
        <w:rPr>
          <w:rFonts w:ascii="Arial" w:hAnsi="Arial" w:cs="Arial"/>
          <w:sz w:val="24"/>
        </w:rPr>
        <w:t xml:space="preserve">here </w:t>
      </w:r>
      <w:r w:rsidRPr="0089735D">
        <w:rPr>
          <w:rFonts w:ascii="Arial" w:hAnsi="Arial" w:cs="Arial"/>
          <w:sz w:val="24"/>
        </w:rPr>
        <w:t xml:space="preserve">because, despite their all being </w:t>
      </w:r>
      <w:r w:rsidR="00212EA8">
        <w:rPr>
          <w:rFonts w:ascii="Arial" w:hAnsi="Arial" w:cs="Arial"/>
          <w:sz w:val="24"/>
        </w:rPr>
        <w:t>family</w:t>
      </w:r>
      <w:r w:rsidRPr="0089735D">
        <w:rPr>
          <w:rFonts w:ascii="Arial" w:hAnsi="Arial" w:cs="Arial"/>
          <w:sz w:val="24"/>
        </w:rPr>
        <w:t>, the</w:t>
      </w:r>
      <w:r w:rsidR="00212EA8">
        <w:rPr>
          <w:rFonts w:ascii="Arial" w:hAnsi="Arial" w:cs="Arial"/>
          <w:sz w:val="24"/>
        </w:rPr>
        <w:t xml:space="preserve">ir </w:t>
      </w:r>
      <w:r w:rsidRPr="0089735D">
        <w:rPr>
          <w:rFonts w:ascii="Arial" w:hAnsi="Arial" w:cs="Arial"/>
          <w:sz w:val="24"/>
        </w:rPr>
        <w:t>names cause confusion: Fathi Yusuf, Manal Yousef, and Isam/Jamil Yousuf.</w:t>
      </w:r>
    </w:p>
  </w:footnote>
  <w:footnote w:id="2">
    <w:p w14:paraId="27DF56B2" w14:textId="4A770983" w:rsidR="00F226EC" w:rsidRPr="00661E0F" w:rsidRDefault="00CC76DD" w:rsidP="00F226EC">
      <w:pPr>
        <w:pStyle w:val="FootnoteText"/>
        <w:jc w:val="both"/>
        <w:outlineLvl w:val="0"/>
        <w:rPr>
          <w:rFonts w:ascii="Arial" w:hAnsi="Arial" w:cs="Arial"/>
          <w:sz w:val="24"/>
          <w:szCs w:val="24"/>
        </w:rPr>
      </w:pPr>
      <w:r w:rsidRPr="00661E0F">
        <w:rPr>
          <w:rStyle w:val="FootnoteReference"/>
          <w:rFonts w:ascii="Arial" w:hAnsi="Arial" w:cs="Arial"/>
          <w:sz w:val="24"/>
          <w:szCs w:val="24"/>
        </w:rPr>
        <w:footnoteRef/>
      </w:r>
      <w:r w:rsidRPr="00661E0F">
        <w:rPr>
          <w:rFonts w:ascii="Arial" w:hAnsi="Arial" w:cs="Arial"/>
          <w:sz w:val="24"/>
          <w:szCs w:val="24"/>
        </w:rPr>
        <w:t xml:space="preserve"> The interrogatory that </w:t>
      </w:r>
      <w:r w:rsidR="00F226EC" w:rsidRPr="00661E0F">
        <w:rPr>
          <w:rFonts w:ascii="Arial" w:hAnsi="Arial" w:cs="Arial"/>
          <w:sz w:val="24"/>
          <w:szCs w:val="24"/>
        </w:rPr>
        <w:t>Isam</w:t>
      </w:r>
      <w:r w:rsidRPr="00661E0F">
        <w:rPr>
          <w:rFonts w:ascii="Arial" w:hAnsi="Arial" w:cs="Arial"/>
          <w:sz w:val="24"/>
          <w:szCs w:val="24"/>
        </w:rPr>
        <w:t xml:space="preserve"> refused to answer would have exposed all of the particulars of Island </w:t>
      </w:r>
      <w:r w:rsidR="009930B4" w:rsidRPr="00661E0F">
        <w:rPr>
          <w:rFonts w:ascii="Arial" w:hAnsi="Arial" w:cs="Arial"/>
          <w:sz w:val="24"/>
          <w:szCs w:val="24"/>
        </w:rPr>
        <w:t>Appliance</w:t>
      </w:r>
      <w:r w:rsidR="009930B4">
        <w:rPr>
          <w:rFonts w:ascii="Arial" w:hAnsi="Arial" w:cs="Arial"/>
          <w:sz w:val="24"/>
          <w:szCs w:val="24"/>
        </w:rPr>
        <w:t xml:space="preserve">’s structure, </w:t>
      </w:r>
      <w:r w:rsidR="004A4798">
        <w:rPr>
          <w:rFonts w:ascii="Arial" w:hAnsi="Arial" w:cs="Arial"/>
          <w:sz w:val="24"/>
          <w:szCs w:val="24"/>
        </w:rPr>
        <w:t>ownership,</w:t>
      </w:r>
      <w:r w:rsidR="009930B4">
        <w:rPr>
          <w:rFonts w:ascii="Arial" w:hAnsi="Arial" w:cs="Arial"/>
          <w:sz w:val="24"/>
          <w:szCs w:val="24"/>
        </w:rPr>
        <w:t xml:space="preserve"> and records maintenance--facts</w:t>
      </w:r>
      <w:r w:rsidRPr="00661E0F">
        <w:rPr>
          <w:rFonts w:ascii="Arial" w:hAnsi="Arial" w:cs="Arial"/>
          <w:sz w:val="24"/>
          <w:szCs w:val="24"/>
        </w:rPr>
        <w:t xml:space="preserve"> he now attempts to deploy here</w:t>
      </w:r>
      <w:r w:rsidR="003065FE">
        <w:rPr>
          <w:rFonts w:ascii="Arial" w:hAnsi="Arial" w:cs="Arial"/>
          <w:sz w:val="24"/>
          <w:szCs w:val="24"/>
        </w:rPr>
        <w:t xml:space="preserve"> without any documentary support</w:t>
      </w:r>
      <w:r w:rsidRPr="00661E0F">
        <w:rPr>
          <w:rFonts w:ascii="Arial" w:hAnsi="Arial" w:cs="Arial"/>
          <w:sz w:val="24"/>
          <w:szCs w:val="24"/>
        </w:rPr>
        <w:t>. It sought the following</w:t>
      </w:r>
      <w:r w:rsidR="0083486A">
        <w:rPr>
          <w:rFonts w:ascii="Arial" w:hAnsi="Arial" w:cs="Arial"/>
          <w:sz w:val="24"/>
          <w:szCs w:val="24"/>
        </w:rPr>
        <w:t>:</w:t>
      </w:r>
    </w:p>
    <w:p w14:paraId="1CB65CEA" w14:textId="77777777" w:rsidR="00F226EC" w:rsidRPr="009930B4" w:rsidRDefault="00F226EC" w:rsidP="00F226EC">
      <w:pPr>
        <w:pStyle w:val="FootnoteText"/>
        <w:jc w:val="both"/>
        <w:outlineLvl w:val="0"/>
        <w:rPr>
          <w:rFonts w:ascii="Arial" w:hAnsi="Arial" w:cs="Arial"/>
          <w:sz w:val="8"/>
          <w:szCs w:val="8"/>
        </w:rPr>
      </w:pPr>
    </w:p>
    <w:p w14:paraId="78E0D50E" w14:textId="410949F8" w:rsidR="00CC76DD" w:rsidRDefault="006F2130" w:rsidP="00F226EC">
      <w:pPr>
        <w:autoSpaceDE w:val="0"/>
        <w:autoSpaceDN w:val="0"/>
        <w:adjustRightInd w:val="0"/>
        <w:ind w:left="720" w:right="720"/>
        <w:jc w:val="both"/>
        <w:outlineLvl w:val="0"/>
        <w:rPr>
          <w:rFonts w:eastAsiaTheme="minorHAnsi" w:cs="Arial"/>
        </w:rPr>
      </w:pPr>
      <w:r>
        <w:rPr>
          <w:rFonts w:eastAsiaTheme="minorHAnsi" w:cs="Arial"/>
          <w:i/>
          <w:iCs/>
        </w:rPr>
        <w:t>I</w:t>
      </w:r>
      <w:r w:rsidR="004A4798" w:rsidRPr="000B2D36">
        <w:rPr>
          <w:rFonts w:eastAsiaTheme="minorHAnsi" w:cs="Arial"/>
          <w:i/>
          <w:iCs/>
        </w:rPr>
        <w:t>nterrogatory</w:t>
      </w:r>
      <w:r w:rsidR="00F226EC" w:rsidRPr="000B2D36">
        <w:rPr>
          <w:rFonts w:eastAsiaTheme="minorHAnsi" w:cs="Arial"/>
          <w:i/>
          <w:iCs/>
        </w:rPr>
        <w:t xml:space="preserve"> 3:</w:t>
      </w:r>
      <w:r w:rsidR="000B2D36">
        <w:rPr>
          <w:rFonts w:eastAsiaTheme="minorHAnsi" w:cs="Arial"/>
        </w:rPr>
        <w:t xml:space="preserve"> </w:t>
      </w:r>
      <w:r w:rsidR="00F226EC" w:rsidRPr="00661E0F">
        <w:rPr>
          <w:rFonts w:eastAsiaTheme="minorHAnsi" w:cs="Arial"/>
        </w:rPr>
        <w:t xml:space="preserve">Please describe in detail all that you know about BFC </w:t>
      </w:r>
      <w:r w:rsidR="004A4798" w:rsidRPr="00661E0F">
        <w:rPr>
          <w:rFonts w:eastAsiaTheme="minorHAnsi" w:cs="Arial"/>
        </w:rPr>
        <w:t>island</w:t>
      </w:r>
      <w:r w:rsidR="00F226EC" w:rsidRPr="00661E0F">
        <w:rPr>
          <w:rFonts w:eastAsiaTheme="minorHAnsi" w:cs="Arial"/>
        </w:rPr>
        <w:t xml:space="preserve"> Appliance, including but not limited to its location, years of operation, ownership, location of its bank accounts, your relationship to it and its one of its owners/operators as well as the name and address of all of its other owners/operators.</w:t>
      </w:r>
    </w:p>
    <w:p w14:paraId="18BA3E5A" w14:textId="3BF6D27F" w:rsidR="0083486A" w:rsidRPr="0083486A" w:rsidRDefault="0083486A" w:rsidP="00F226EC">
      <w:pPr>
        <w:autoSpaceDE w:val="0"/>
        <w:autoSpaceDN w:val="0"/>
        <w:adjustRightInd w:val="0"/>
        <w:ind w:left="720" w:right="720"/>
        <w:jc w:val="both"/>
        <w:outlineLvl w:val="0"/>
        <w:rPr>
          <w:rFonts w:eastAsiaTheme="minorHAnsi" w:cs="Arial"/>
          <w:sz w:val="8"/>
          <w:szCs w:val="8"/>
        </w:rPr>
      </w:pPr>
    </w:p>
    <w:p w14:paraId="06F616C6" w14:textId="764DBE28" w:rsidR="0083486A" w:rsidRPr="00661E0F" w:rsidRDefault="0083486A" w:rsidP="0083486A">
      <w:pPr>
        <w:pStyle w:val="FootnoteText"/>
        <w:jc w:val="both"/>
        <w:outlineLvl w:val="0"/>
        <w:rPr>
          <w:rFonts w:cs="Arial"/>
        </w:rPr>
      </w:pPr>
      <w:r w:rsidRPr="009930B4">
        <w:rPr>
          <w:rFonts w:ascii="Arial" w:hAnsi="Arial" w:cs="Arial"/>
          <w:i/>
          <w:iCs/>
          <w:sz w:val="24"/>
          <w:szCs w:val="24"/>
        </w:rPr>
        <w:t xml:space="preserve">Plaintiff's First Request for Interrogatories to Defendant </w:t>
      </w:r>
      <w:r>
        <w:rPr>
          <w:rFonts w:ascii="Arial" w:hAnsi="Arial" w:cs="Arial"/>
          <w:i/>
          <w:iCs/>
          <w:sz w:val="24"/>
          <w:szCs w:val="24"/>
        </w:rPr>
        <w:t>I</w:t>
      </w:r>
      <w:r w:rsidRPr="009930B4">
        <w:rPr>
          <w:rFonts w:ascii="Arial" w:hAnsi="Arial" w:cs="Arial"/>
          <w:i/>
          <w:iCs/>
          <w:sz w:val="24"/>
          <w:szCs w:val="24"/>
        </w:rPr>
        <w:t>sam Yousuf</w:t>
      </w:r>
      <w:r w:rsidRPr="00661E0F">
        <w:rPr>
          <w:rFonts w:ascii="Arial" w:hAnsi="Arial" w:cs="Arial"/>
          <w:sz w:val="24"/>
          <w:szCs w:val="24"/>
        </w:rPr>
        <w:t xml:space="preserve">, </w:t>
      </w:r>
      <w:r>
        <w:rPr>
          <w:rFonts w:ascii="Arial" w:hAnsi="Arial" w:cs="Arial"/>
          <w:sz w:val="24"/>
          <w:szCs w:val="24"/>
        </w:rPr>
        <w:t xml:space="preserve">original </w:t>
      </w:r>
      <w:r w:rsidRPr="00661E0F">
        <w:rPr>
          <w:rFonts w:ascii="Arial" w:hAnsi="Arial" w:cs="Arial"/>
          <w:sz w:val="24"/>
          <w:szCs w:val="24"/>
        </w:rPr>
        <w:t>Exhibit 2 to the Motion, at page 6</w:t>
      </w:r>
      <w:r>
        <w:rPr>
          <w:rFonts w:ascii="Arial" w:hAnsi="Arial" w:cs="Arial"/>
          <w:sz w:val="24"/>
          <w:szCs w:val="24"/>
        </w:rPr>
        <w:t>.</w:t>
      </w:r>
    </w:p>
    <w:p w14:paraId="0D9D3940" w14:textId="77777777" w:rsidR="00F226EC" w:rsidRPr="000B2D36" w:rsidRDefault="00F226EC" w:rsidP="00F226EC">
      <w:pPr>
        <w:pStyle w:val="FootnoteText"/>
        <w:ind w:left="720" w:right="720"/>
        <w:jc w:val="both"/>
        <w:outlineLvl w:val="0"/>
        <w:rPr>
          <w:rFonts w:ascii="Arial" w:hAnsi="Arial" w:cs="Arial"/>
          <w:sz w:val="8"/>
          <w:szCs w:val="8"/>
        </w:rPr>
      </w:pPr>
    </w:p>
  </w:footnote>
  <w:footnote w:id="3">
    <w:p w14:paraId="231AAEFD" w14:textId="39245A76" w:rsidR="00D16813" w:rsidRDefault="00D16813" w:rsidP="00D16813">
      <w:pPr>
        <w:pStyle w:val="FootnoteText"/>
        <w:jc w:val="both"/>
        <w:outlineLvl w:val="0"/>
        <w:rPr>
          <w:rFonts w:ascii="Arial" w:hAnsi="Arial" w:cs="Arial"/>
          <w:sz w:val="24"/>
          <w:szCs w:val="24"/>
        </w:rPr>
      </w:pPr>
      <w:r w:rsidRPr="00661E0F">
        <w:rPr>
          <w:rStyle w:val="FootnoteReference"/>
          <w:rFonts w:ascii="Arial" w:hAnsi="Arial" w:cs="Arial"/>
          <w:sz w:val="24"/>
          <w:szCs w:val="24"/>
        </w:rPr>
        <w:footnoteRef/>
      </w:r>
      <w:r w:rsidRPr="00661E0F">
        <w:rPr>
          <w:rFonts w:ascii="Arial" w:hAnsi="Arial" w:cs="Arial"/>
          <w:sz w:val="24"/>
          <w:szCs w:val="24"/>
        </w:rPr>
        <w:t xml:space="preserve"> In the </w:t>
      </w:r>
      <w:r w:rsidR="006F2130">
        <w:rPr>
          <w:rFonts w:ascii="Arial" w:hAnsi="Arial" w:cs="Arial"/>
          <w:sz w:val="24"/>
          <w:szCs w:val="24"/>
        </w:rPr>
        <w:t>M</w:t>
      </w:r>
      <w:r w:rsidRPr="00661E0F">
        <w:rPr>
          <w:rFonts w:ascii="Arial" w:hAnsi="Arial" w:cs="Arial"/>
          <w:sz w:val="24"/>
          <w:szCs w:val="24"/>
        </w:rPr>
        <w:t xml:space="preserve">otion, this was shown by Exhibit 8, </w:t>
      </w:r>
      <w:r w:rsidRPr="006F2130">
        <w:rPr>
          <w:rFonts w:ascii="Arial" w:hAnsi="Arial" w:cs="Arial"/>
          <w:i/>
          <w:iCs/>
          <w:sz w:val="24"/>
          <w:szCs w:val="24"/>
        </w:rPr>
        <w:t>St. Martin Judicial Police Report</w:t>
      </w:r>
      <w:r w:rsidR="00467FBC">
        <w:rPr>
          <w:rFonts w:ascii="Arial" w:hAnsi="Arial" w:cs="Arial"/>
          <w:sz w:val="24"/>
          <w:szCs w:val="24"/>
        </w:rPr>
        <w:t>,</w:t>
      </w:r>
      <w:r w:rsidRPr="00661E0F">
        <w:rPr>
          <w:rFonts w:ascii="Arial" w:hAnsi="Arial" w:cs="Arial"/>
          <w:sz w:val="24"/>
          <w:szCs w:val="24"/>
        </w:rPr>
        <w:t xml:space="preserve"> dated May 14, 2003. There it is described as a tradename only. No corporate involvement other than tradename is described—there are</w:t>
      </w:r>
      <w:r w:rsidR="006832C2">
        <w:rPr>
          <w:rFonts w:ascii="Arial" w:hAnsi="Arial" w:cs="Arial"/>
          <w:sz w:val="24"/>
          <w:szCs w:val="24"/>
        </w:rPr>
        <w:t xml:space="preserve"> </w:t>
      </w:r>
      <w:r w:rsidRPr="00661E0F">
        <w:rPr>
          <w:rFonts w:ascii="Arial" w:hAnsi="Arial" w:cs="Arial"/>
          <w:sz w:val="24"/>
          <w:szCs w:val="24"/>
        </w:rPr>
        <w:t xml:space="preserve">no corporate or other entity documents referenced. </w:t>
      </w:r>
    </w:p>
    <w:p w14:paraId="4DCB69C4" w14:textId="77777777" w:rsidR="0083486A" w:rsidRPr="0083486A" w:rsidRDefault="0083486A" w:rsidP="00D16813">
      <w:pPr>
        <w:pStyle w:val="FootnoteText"/>
        <w:jc w:val="both"/>
        <w:outlineLvl w:val="0"/>
        <w:rPr>
          <w:rFonts w:ascii="Arial" w:hAnsi="Arial" w:cs="Arial"/>
          <w:sz w:val="8"/>
          <w:szCs w:val="8"/>
        </w:rPr>
      </w:pPr>
    </w:p>
  </w:footnote>
  <w:footnote w:id="4">
    <w:p w14:paraId="1C582692" w14:textId="3771CAE1" w:rsidR="00D16813" w:rsidRDefault="00D16813" w:rsidP="00D16813">
      <w:pPr>
        <w:pStyle w:val="FootnoteText"/>
        <w:jc w:val="both"/>
        <w:outlineLvl w:val="0"/>
        <w:rPr>
          <w:rFonts w:ascii="Arial" w:hAnsi="Arial" w:cs="Arial"/>
          <w:sz w:val="24"/>
          <w:szCs w:val="24"/>
        </w:rPr>
      </w:pPr>
      <w:r w:rsidRPr="00661E0F">
        <w:rPr>
          <w:rStyle w:val="FootnoteReference"/>
          <w:rFonts w:ascii="Arial" w:hAnsi="Arial" w:cs="Arial"/>
          <w:sz w:val="24"/>
          <w:szCs w:val="24"/>
        </w:rPr>
        <w:footnoteRef/>
      </w:r>
      <w:r w:rsidRPr="00661E0F">
        <w:rPr>
          <w:rFonts w:ascii="Arial" w:hAnsi="Arial" w:cs="Arial"/>
          <w:sz w:val="24"/>
          <w:szCs w:val="24"/>
        </w:rPr>
        <w:t xml:space="preserve"> If it </w:t>
      </w:r>
      <w:r w:rsidR="006A0C00">
        <w:rPr>
          <w:rFonts w:ascii="Arial" w:hAnsi="Arial" w:cs="Arial"/>
          <w:sz w:val="24"/>
          <w:szCs w:val="24"/>
        </w:rPr>
        <w:t>was</w:t>
      </w:r>
      <w:r w:rsidRPr="00661E0F">
        <w:rPr>
          <w:rFonts w:ascii="Arial" w:hAnsi="Arial" w:cs="Arial"/>
          <w:sz w:val="24"/>
          <w:szCs w:val="24"/>
        </w:rPr>
        <w:t xml:space="preserve"> an entity, there should be </w:t>
      </w:r>
      <w:r w:rsidRPr="00467FBC">
        <w:rPr>
          <w:rFonts w:ascii="Arial" w:hAnsi="Arial" w:cs="Arial"/>
          <w:sz w:val="24"/>
          <w:szCs w:val="24"/>
        </w:rPr>
        <w:t>some</w:t>
      </w:r>
      <w:r w:rsidRPr="00661E0F">
        <w:rPr>
          <w:rFonts w:ascii="Arial" w:hAnsi="Arial" w:cs="Arial"/>
          <w:sz w:val="24"/>
          <w:szCs w:val="24"/>
        </w:rPr>
        <w:t xml:space="preserve"> sort of </w:t>
      </w:r>
      <w:r w:rsidR="006A0C00">
        <w:rPr>
          <w:rFonts w:ascii="Arial" w:hAnsi="Arial" w:cs="Arial"/>
          <w:sz w:val="24"/>
          <w:szCs w:val="24"/>
        </w:rPr>
        <w:t>governmental records</w:t>
      </w:r>
      <w:r w:rsidRPr="00661E0F">
        <w:rPr>
          <w:rFonts w:ascii="Arial" w:hAnsi="Arial" w:cs="Arial"/>
          <w:sz w:val="24"/>
          <w:szCs w:val="24"/>
        </w:rPr>
        <w:t>. The same is true with regard to level of participation</w:t>
      </w:r>
      <w:r w:rsidR="00961E56">
        <w:rPr>
          <w:rFonts w:ascii="Arial" w:hAnsi="Arial" w:cs="Arial"/>
          <w:sz w:val="24"/>
          <w:szCs w:val="24"/>
        </w:rPr>
        <w:t xml:space="preserve"> of </w:t>
      </w:r>
      <w:r w:rsidR="00467FBC">
        <w:rPr>
          <w:rFonts w:ascii="Arial" w:hAnsi="Arial" w:cs="Arial"/>
          <w:sz w:val="24"/>
          <w:szCs w:val="24"/>
        </w:rPr>
        <w:t xml:space="preserve">other, </w:t>
      </w:r>
      <w:r w:rsidR="00961E56">
        <w:rPr>
          <w:rFonts w:ascii="Arial" w:hAnsi="Arial" w:cs="Arial"/>
          <w:sz w:val="24"/>
          <w:szCs w:val="24"/>
        </w:rPr>
        <w:t>involved individuals.</w:t>
      </w:r>
    </w:p>
    <w:p w14:paraId="4605A22C" w14:textId="77777777" w:rsidR="005434E0" w:rsidRPr="005434E0" w:rsidRDefault="005434E0" w:rsidP="00D16813">
      <w:pPr>
        <w:pStyle w:val="FootnoteText"/>
        <w:jc w:val="both"/>
        <w:outlineLvl w:val="0"/>
        <w:rPr>
          <w:rFonts w:ascii="Arial" w:hAnsi="Arial" w:cs="Arial"/>
          <w:sz w:val="12"/>
          <w:szCs w:val="12"/>
        </w:rPr>
      </w:pPr>
    </w:p>
  </w:footnote>
  <w:footnote w:id="5">
    <w:p w14:paraId="52C78AFE" w14:textId="7FC24A42" w:rsidR="008A16CD" w:rsidRPr="00661E0F" w:rsidRDefault="008A16CD" w:rsidP="008A16CD">
      <w:pPr>
        <w:pStyle w:val="FootnoteText"/>
        <w:jc w:val="both"/>
        <w:outlineLvl w:val="0"/>
        <w:rPr>
          <w:rFonts w:ascii="Arial" w:hAnsi="Arial" w:cs="Arial"/>
          <w:sz w:val="24"/>
          <w:szCs w:val="24"/>
        </w:rPr>
      </w:pPr>
      <w:r w:rsidRPr="00661E0F">
        <w:rPr>
          <w:rStyle w:val="FootnoteReference"/>
          <w:rFonts w:ascii="Arial" w:hAnsi="Arial" w:cs="Arial"/>
          <w:sz w:val="24"/>
          <w:szCs w:val="24"/>
        </w:rPr>
        <w:footnoteRef/>
      </w:r>
      <w:r w:rsidRPr="00661E0F">
        <w:rPr>
          <w:rFonts w:ascii="Arial" w:hAnsi="Arial" w:cs="Arial"/>
          <w:sz w:val="24"/>
          <w:szCs w:val="24"/>
        </w:rPr>
        <w:t xml:space="preserve"> For example, did Fathi have an interest in the business? Did Manal? Did </w:t>
      </w:r>
      <w:r w:rsidR="00961E56">
        <w:rPr>
          <w:rFonts w:ascii="Arial" w:hAnsi="Arial" w:cs="Arial"/>
          <w:sz w:val="24"/>
          <w:szCs w:val="24"/>
        </w:rPr>
        <w:t>Isam and Manal’s</w:t>
      </w:r>
      <w:r w:rsidRPr="00661E0F">
        <w:rPr>
          <w:rFonts w:ascii="Arial" w:hAnsi="Arial" w:cs="Arial"/>
          <w:sz w:val="24"/>
          <w:szCs w:val="24"/>
        </w:rPr>
        <w:t xml:space="preserve"> father, </w:t>
      </w:r>
      <w:r w:rsidR="00961E56">
        <w:rPr>
          <w:rFonts w:ascii="Arial" w:hAnsi="Arial" w:cs="Arial"/>
          <w:sz w:val="24"/>
          <w:szCs w:val="24"/>
        </w:rPr>
        <w:t xml:space="preserve">Fathi’s brother, </w:t>
      </w:r>
      <w:r w:rsidRPr="00661E0F">
        <w:rPr>
          <w:rFonts w:ascii="Arial" w:hAnsi="Arial" w:cs="Arial"/>
          <w:sz w:val="24"/>
          <w:szCs w:val="24"/>
        </w:rPr>
        <w:t>Mohammad Yusuf (aka Hamdan)?</w:t>
      </w:r>
    </w:p>
  </w:footnote>
  <w:footnote w:id="6">
    <w:p w14:paraId="3A56303D" w14:textId="4924F415" w:rsidR="000428EE" w:rsidRPr="000428EE" w:rsidRDefault="000428EE" w:rsidP="000428EE">
      <w:pPr>
        <w:pStyle w:val="FootnoteText"/>
        <w:jc w:val="both"/>
        <w:outlineLvl w:val="0"/>
        <w:rPr>
          <w:i/>
          <w:iCs/>
          <w:color w:val="000000" w:themeColor="text1"/>
        </w:rPr>
      </w:pPr>
      <w:r>
        <w:rPr>
          <w:rStyle w:val="FootnoteReference"/>
        </w:rPr>
        <w:footnoteRef/>
      </w:r>
      <w:r>
        <w:t xml:space="preserve"> </w:t>
      </w:r>
      <w:r w:rsidRPr="000428EE">
        <w:rPr>
          <w:rFonts w:ascii="Arial" w:hAnsi="Arial" w:cs="Arial"/>
          <w:i/>
          <w:iCs/>
          <w:color w:val="202124"/>
          <w:sz w:val="24"/>
          <w:shd w:val="clear" w:color="auto" w:fill="F8F9FA"/>
        </w:rPr>
        <w:t xml:space="preserve">Law on Free Access to Administrative Documents </w:t>
      </w:r>
      <w:r w:rsidRPr="000428EE">
        <w:rPr>
          <w:rFonts w:ascii="Arial" w:hAnsi="Arial" w:cs="Arial"/>
          <w:color w:val="202124"/>
          <w:sz w:val="24"/>
          <w:shd w:val="clear" w:color="auto" w:fill="F8F9FA"/>
        </w:rPr>
        <w:t>(Law No. 78-753 of 17</w:t>
      </w:r>
      <w:r w:rsidR="0060640A">
        <w:rPr>
          <w:rFonts w:ascii="Arial" w:hAnsi="Arial" w:cs="Arial"/>
          <w:color w:val="202124"/>
          <w:sz w:val="24"/>
          <w:shd w:val="clear" w:color="auto" w:fill="F8F9FA"/>
        </w:rPr>
        <w:t xml:space="preserve"> </w:t>
      </w:r>
      <w:r w:rsidRPr="000428EE">
        <w:rPr>
          <w:rFonts w:ascii="Arial" w:hAnsi="Arial" w:cs="Arial"/>
          <w:color w:val="202124"/>
          <w:sz w:val="24"/>
          <w:shd w:val="clear" w:color="auto" w:fill="F8F9FA"/>
        </w:rPr>
        <w:t>July 1978) (</w:t>
      </w:r>
      <w:r w:rsidRPr="000428EE">
        <w:rPr>
          <w:rFonts w:ascii="Arial" w:hAnsi="Arial" w:cs="Arial"/>
          <w:sz w:val="24"/>
        </w:rPr>
        <w:t>Loi N° 78-753 portant diverses mesures d’amélioration des relations entre l’administration et le public et diverses dispositions d’ordre administratif, social et fiscal)</w:t>
      </w:r>
      <w:r w:rsidR="006832C2">
        <w:rPr>
          <w:rFonts w:ascii="Arial" w:hAnsi="Arial" w:cs="Arial"/>
          <w:sz w:val="24"/>
        </w:rPr>
        <w:t xml:space="preserve"> </w:t>
      </w:r>
      <w:r w:rsidRPr="000428EE">
        <w:rPr>
          <w:rFonts w:ascii="Arial" w:hAnsi="Arial" w:cs="Arial"/>
          <w:color w:val="202124"/>
          <w:sz w:val="24"/>
          <w:shd w:val="clear" w:color="auto" w:fill="F8F9FA"/>
        </w:rPr>
        <w:t xml:space="preserve">as </w:t>
      </w:r>
      <w:r w:rsidR="0060640A">
        <w:rPr>
          <w:rFonts w:ascii="Arial" w:hAnsi="Arial" w:cs="Arial"/>
          <w:color w:val="202124"/>
          <w:sz w:val="24"/>
          <w:shd w:val="clear" w:color="auto" w:fill="F8F9FA"/>
        </w:rPr>
        <w:t>expanded</w:t>
      </w:r>
      <w:r w:rsidRPr="000428EE">
        <w:rPr>
          <w:rFonts w:ascii="Arial" w:hAnsi="Arial" w:cs="Arial"/>
          <w:color w:val="202124"/>
          <w:sz w:val="24"/>
          <w:shd w:val="clear" w:color="auto" w:fill="F8F9FA"/>
        </w:rPr>
        <w:t xml:space="preserve"> by </w:t>
      </w:r>
      <w:r w:rsidR="0060640A">
        <w:rPr>
          <w:rFonts w:ascii="Arial" w:hAnsi="Arial" w:cs="Arial"/>
          <w:color w:val="202124"/>
          <w:sz w:val="24"/>
          <w:shd w:val="clear" w:color="auto" w:fill="F8F9FA"/>
        </w:rPr>
        <w:t xml:space="preserve">the applicable </w:t>
      </w:r>
      <w:r w:rsidRPr="000428EE">
        <w:rPr>
          <w:rFonts w:ascii="Arial" w:hAnsi="Arial" w:cs="Arial"/>
          <w:i/>
          <w:iCs/>
          <w:color w:val="000000" w:themeColor="text1"/>
          <w:sz w:val="24"/>
          <w:szCs w:val="25"/>
          <w:shd w:val="clear" w:color="auto" w:fill="FFFFFF"/>
        </w:rPr>
        <w:t>European Union General Data Protection Regulation.</w:t>
      </w:r>
    </w:p>
  </w:footnote>
  <w:footnote w:id="7">
    <w:p w14:paraId="2723A36B" w14:textId="2A677288" w:rsidR="000162D0" w:rsidRDefault="000162D0" w:rsidP="000162D0">
      <w:pPr>
        <w:pStyle w:val="FootnoteText"/>
        <w:jc w:val="both"/>
        <w:outlineLvl w:val="0"/>
        <w:rPr>
          <w:rFonts w:ascii="Arial" w:hAnsi="Arial" w:cs="Arial"/>
          <w:color w:val="000000"/>
          <w:sz w:val="24"/>
        </w:rPr>
      </w:pPr>
      <w:r>
        <w:rPr>
          <w:rStyle w:val="FootnoteReference"/>
        </w:rPr>
        <w:footnoteRef/>
      </w:r>
      <w:r w:rsidR="00357730">
        <w:t xml:space="preserve"> </w:t>
      </w:r>
      <w:r w:rsidR="00357730">
        <w:rPr>
          <w:rFonts w:ascii="Arial" w:hAnsi="Arial" w:cs="Arial"/>
          <w:color w:val="000000"/>
          <w:sz w:val="24"/>
        </w:rPr>
        <w:t>“T</w:t>
      </w:r>
      <w:r w:rsidR="00357730" w:rsidRPr="00357730">
        <w:rPr>
          <w:rFonts w:ascii="Arial" w:hAnsi="Arial" w:cs="Arial"/>
          <w:color w:val="000000"/>
          <w:sz w:val="24"/>
        </w:rPr>
        <w:t xml:space="preserve">he Supreme Court of the Virgin Islands has stated </w:t>
      </w:r>
      <w:r w:rsidR="00357730">
        <w:rPr>
          <w:rFonts w:ascii="Arial" w:hAnsi="Arial" w:cs="Arial"/>
          <w:color w:val="000000"/>
          <w:sz w:val="24"/>
        </w:rPr>
        <w:t xml:space="preserve">. . .an </w:t>
      </w:r>
      <w:r w:rsidR="00357730" w:rsidRPr="00357730">
        <w:rPr>
          <w:rStyle w:val="sssh"/>
          <w:rFonts w:ascii="Arial" w:hAnsi="Arial" w:cs="Arial"/>
          <w:color w:val="000000"/>
          <w:sz w:val="24"/>
          <w:bdr w:val="none" w:sz="0" w:space="0" w:color="auto" w:frame="1"/>
        </w:rPr>
        <w:t>affirmative defense</w:t>
      </w:r>
      <w:r w:rsidR="00357730" w:rsidRPr="00357730">
        <w:rPr>
          <w:rFonts w:ascii="Arial" w:hAnsi="Arial" w:cs="Arial"/>
          <w:color w:val="000000"/>
          <w:sz w:val="24"/>
        </w:rPr>
        <w:t xml:space="preserve"> involving issues of fact, </w:t>
      </w:r>
      <w:r w:rsidR="00357730">
        <w:rPr>
          <w:rFonts w:ascii="Arial" w:hAnsi="Arial" w:cs="Arial"/>
          <w:color w:val="000000"/>
          <w:sz w:val="24"/>
        </w:rPr>
        <w:t>[</w:t>
      </w:r>
      <w:r w:rsidR="00DC24A2">
        <w:rPr>
          <w:rFonts w:ascii="Arial" w:hAnsi="Arial" w:cs="Arial"/>
          <w:color w:val="000000"/>
          <w:sz w:val="24"/>
        </w:rPr>
        <w:t>which</w:t>
      </w:r>
      <w:r w:rsidR="00357730">
        <w:rPr>
          <w:rFonts w:ascii="Arial" w:hAnsi="Arial" w:cs="Arial"/>
          <w:color w:val="000000"/>
          <w:sz w:val="24"/>
        </w:rPr>
        <w:t xml:space="preserve">] </w:t>
      </w:r>
      <w:r w:rsidR="00357730" w:rsidRPr="00357730">
        <w:rPr>
          <w:rFonts w:ascii="Arial" w:hAnsi="Arial" w:cs="Arial"/>
          <w:color w:val="000000"/>
          <w:sz w:val="24"/>
        </w:rPr>
        <w:t>typically </w:t>
      </w:r>
      <w:r w:rsidR="00357730" w:rsidRPr="00357730">
        <w:rPr>
          <w:rStyle w:val="sssh"/>
          <w:rFonts w:ascii="Arial" w:hAnsi="Arial" w:cs="Arial"/>
          <w:color w:val="000000"/>
          <w:sz w:val="24"/>
          <w:bdr w:val="none" w:sz="0" w:space="0" w:color="auto" w:frame="1"/>
        </w:rPr>
        <w:t>cannot</w:t>
      </w:r>
      <w:r w:rsidR="00357730" w:rsidRPr="00357730">
        <w:rPr>
          <w:rFonts w:ascii="Arial" w:hAnsi="Arial" w:cs="Arial"/>
          <w:color w:val="000000"/>
          <w:sz w:val="24"/>
        </w:rPr>
        <w:t> be decided on the pleadings alone.”</w:t>
      </w:r>
      <w:r w:rsidR="00357730" w:rsidRPr="00357730">
        <w:rPr>
          <w:rFonts w:ascii="Arial" w:hAnsi="Arial" w:cs="Arial"/>
          <w:sz w:val="24"/>
        </w:rPr>
        <w:t xml:space="preserve"> </w:t>
      </w:r>
      <w:r w:rsidR="00357730" w:rsidRPr="00357730">
        <w:rPr>
          <w:rFonts w:ascii="Arial" w:hAnsi="Arial" w:cs="Arial"/>
          <w:i/>
          <w:iCs/>
          <w:sz w:val="24"/>
          <w:bdr w:val="none" w:sz="0" w:space="0" w:color="auto" w:frame="1"/>
        </w:rPr>
        <w:t>Fahie v. Bank of Nova Scotia</w:t>
      </w:r>
      <w:r w:rsidR="00357730" w:rsidRPr="00357730">
        <w:rPr>
          <w:rFonts w:ascii="Arial" w:hAnsi="Arial" w:cs="Arial"/>
          <w:sz w:val="24"/>
          <w:bdr w:val="none" w:sz="0" w:space="0" w:color="auto" w:frame="1"/>
        </w:rPr>
        <w:t>, No. ST-16-CV-646, 2019 V.I. LEXIS 34, at *7-8 (Super. Ct. Mar. 19, 2019)</w:t>
      </w:r>
      <w:r w:rsidRPr="00357730">
        <w:rPr>
          <w:rFonts w:ascii="Arial" w:hAnsi="Arial" w:cs="Arial"/>
          <w:sz w:val="24"/>
        </w:rPr>
        <w:t xml:space="preserve"> </w:t>
      </w:r>
      <w:r w:rsidR="00357730" w:rsidRPr="00357730">
        <w:rPr>
          <w:rFonts w:ascii="Arial" w:hAnsi="Arial" w:cs="Arial"/>
          <w:i/>
          <w:iCs/>
          <w:sz w:val="24"/>
        </w:rPr>
        <w:t>s</w:t>
      </w:r>
      <w:r w:rsidRPr="000162D0">
        <w:rPr>
          <w:rFonts w:ascii="Arial" w:hAnsi="Arial" w:cs="Arial"/>
          <w:i/>
          <w:iCs/>
          <w:sz w:val="24"/>
        </w:rPr>
        <w:t>ee</w:t>
      </w:r>
      <w:r w:rsidR="00357730">
        <w:rPr>
          <w:rFonts w:ascii="Arial" w:hAnsi="Arial" w:cs="Arial"/>
          <w:i/>
          <w:iCs/>
          <w:sz w:val="24"/>
        </w:rPr>
        <w:t xml:space="preserve"> also</w:t>
      </w:r>
      <w:r w:rsidRPr="000162D0">
        <w:rPr>
          <w:rFonts w:ascii="Arial" w:hAnsi="Arial" w:cs="Arial"/>
          <w:i/>
          <w:iCs/>
          <w:sz w:val="24"/>
        </w:rPr>
        <w:t xml:space="preserve"> </w:t>
      </w:r>
      <w:r w:rsidRPr="000162D0">
        <w:rPr>
          <w:rFonts w:ascii="Arial" w:hAnsi="Arial" w:cs="Arial"/>
          <w:i/>
          <w:iCs/>
          <w:sz w:val="24"/>
          <w:bdr w:val="none" w:sz="0" w:space="0" w:color="auto" w:frame="1"/>
        </w:rPr>
        <w:t>Decatur Ventures, Ltd. Liab. Co. v. Stapleton Ventures, Inc</w:t>
      </w:r>
      <w:r w:rsidRPr="000162D0">
        <w:rPr>
          <w:rFonts w:ascii="Arial" w:hAnsi="Arial" w:cs="Arial"/>
          <w:sz w:val="24"/>
          <w:bdr w:val="none" w:sz="0" w:space="0" w:color="auto" w:frame="1"/>
        </w:rPr>
        <w:t>., No. 1:04-cv-0562-JDT-WTL, 2006 U.S. Dist. LEXIS 55512, at *1 (S.D. Ind. Aug. 8, 2006)(</w:t>
      </w:r>
      <w:r w:rsidRPr="000162D0">
        <w:rPr>
          <w:rFonts w:ascii="Arial" w:hAnsi="Arial" w:cs="Arial"/>
          <w:color w:val="000000"/>
          <w:sz w:val="24"/>
        </w:rPr>
        <w:t xml:space="preserve">The court would </w:t>
      </w:r>
      <w:r>
        <w:rPr>
          <w:rFonts w:ascii="Arial" w:hAnsi="Arial" w:cs="Arial"/>
          <w:color w:val="000000"/>
          <w:sz w:val="24"/>
        </w:rPr>
        <w:t xml:space="preserve">only </w:t>
      </w:r>
      <w:r w:rsidRPr="000162D0">
        <w:rPr>
          <w:rFonts w:ascii="Arial" w:hAnsi="Arial" w:cs="Arial"/>
          <w:color w:val="000000"/>
          <w:sz w:val="24"/>
        </w:rPr>
        <w:t>apply an affirmative defense such as the doctrine of in pari delicto in the future if the facts demonstrated that the applicants bore at least substantially equal or mutual responsibility for the violations they sought to redress.)</w:t>
      </w:r>
    </w:p>
    <w:p w14:paraId="768B7491" w14:textId="1D4105EE" w:rsidR="000162D0" w:rsidRPr="000162D0" w:rsidRDefault="000162D0" w:rsidP="000162D0">
      <w:pPr>
        <w:pStyle w:val="FootnoteText"/>
        <w:jc w:val="both"/>
        <w:outlineLvl w:val="0"/>
        <w:rPr>
          <w:sz w:val="8"/>
          <w:szCs w:val="8"/>
        </w:rPr>
      </w:pPr>
    </w:p>
  </w:footnote>
  <w:footnote w:id="8">
    <w:p w14:paraId="10651A00" w14:textId="40E601CE" w:rsidR="008418BA" w:rsidRDefault="008418BA" w:rsidP="008418BA">
      <w:pPr>
        <w:pStyle w:val="FootnoteText"/>
        <w:jc w:val="both"/>
        <w:outlineLvl w:val="0"/>
      </w:pPr>
      <w:r>
        <w:rPr>
          <w:rStyle w:val="FootnoteReference"/>
        </w:rPr>
        <w:footnoteRef/>
      </w:r>
      <w:r>
        <w:t xml:space="preserve"> </w:t>
      </w:r>
      <w:r w:rsidRPr="00E71F01">
        <w:rPr>
          <w:rFonts w:ascii="Arial" w:hAnsi="Arial" w:cs="Arial"/>
          <w:sz w:val="24"/>
        </w:rPr>
        <w:t>Hamed is cognizant that an affirmative defense cannot be asserted by him here, where he is the plaintiff. However, it is clear that whether the companion (65/342) foreclosure case is consolidated ‘officially; or not—</w:t>
      </w:r>
      <w:r>
        <w:rPr>
          <w:rFonts w:ascii="Arial" w:hAnsi="Arial" w:cs="Arial"/>
          <w:sz w:val="24"/>
        </w:rPr>
        <w:t>the foreclosure</w:t>
      </w:r>
      <w:r w:rsidRPr="00E71F01">
        <w:rPr>
          <w:rFonts w:ascii="Arial" w:hAnsi="Arial" w:cs="Arial"/>
          <w:sz w:val="24"/>
        </w:rPr>
        <w:t xml:space="preserve"> is the </w:t>
      </w:r>
      <w:r w:rsidRPr="008418BA">
        <w:rPr>
          <w:rFonts w:ascii="Arial" w:hAnsi="Arial" w:cs="Arial"/>
          <w:i/>
          <w:iCs/>
          <w:sz w:val="24"/>
        </w:rPr>
        <w:t>sine qua non</w:t>
      </w:r>
      <w:r w:rsidRPr="00E71F01">
        <w:rPr>
          <w:rFonts w:ascii="Arial" w:hAnsi="Arial" w:cs="Arial"/>
          <w:sz w:val="24"/>
        </w:rPr>
        <w:t xml:space="preserve"> of </w:t>
      </w:r>
      <w:r>
        <w:rPr>
          <w:rFonts w:ascii="Arial" w:hAnsi="Arial" w:cs="Arial"/>
          <w:sz w:val="24"/>
        </w:rPr>
        <w:t>many</w:t>
      </w:r>
      <w:r w:rsidRPr="00E71F01">
        <w:rPr>
          <w:rFonts w:ascii="Arial" w:hAnsi="Arial" w:cs="Arial"/>
          <w:sz w:val="24"/>
        </w:rPr>
        <w:t xml:space="preserve"> matters here. </w:t>
      </w:r>
      <w:r w:rsidRPr="008418BA">
        <w:rPr>
          <w:rFonts w:ascii="Arial" w:hAnsi="Arial" w:cs="Arial"/>
          <w:i/>
          <w:iCs/>
          <w:sz w:val="24"/>
        </w:rPr>
        <w:t>In pari delicto</w:t>
      </w:r>
      <w:r w:rsidRPr="00E71F01">
        <w:rPr>
          <w:rFonts w:ascii="Arial" w:hAnsi="Arial" w:cs="Arial"/>
          <w:sz w:val="24"/>
        </w:rPr>
        <w:t xml:space="preserve"> is, therefore, </w:t>
      </w:r>
      <w:r>
        <w:rPr>
          <w:rFonts w:ascii="Arial" w:hAnsi="Arial" w:cs="Arial"/>
          <w:sz w:val="24"/>
        </w:rPr>
        <w:t xml:space="preserve">also </w:t>
      </w:r>
      <w:r w:rsidRPr="00E71F01">
        <w:rPr>
          <w:rFonts w:ascii="Arial" w:hAnsi="Arial" w:cs="Arial"/>
          <w:sz w:val="24"/>
        </w:rPr>
        <w:t xml:space="preserve">pervasive </w:t>
      </w:r>
      <w:r>
        <w:rPr>
          <w:rFonts w:ascii="Arial" w:hAnsi="Arial" w:cs="Arial"/>
          <w:sz w:val="24"/>
        </w:rPr>
        <w:t>here</w:t>
      </w:r>
      <w:r w:rsidRPr="00E71F01">
        <w:rPr>
          <w:rFonts w:ascii="Arial" w:hAnsi="Arial" w:cs="Arial"/>
          <w:sz w:val="24"/>
        </w:rPr>
        <w:t xml:space="preserve"> as an understanding of the relations of these various parties. Thus, </w:t>
      </w:r>
      <w:r>
        <w:rPr>
          <w:rFonts w:ascii="Arial" w:hAnsi="Arial" w:cs="Arial"/>
          <w:sz w:val="24"/>
        </w:rPr>
        <w:t>Isam’s raising of the issue of relative wrongdoing forces Hamed to join the issue here, in this context.</w:t>
      </w:r>
    </w:p>
  </w:footnote>
  <w:footnote w:id="9">
    <w:p w14:paraId="71A9B5A4" w14:textId="702CAB1B" w:rsidR="00EC674A" w:rsidRDefault="00EC674A" w:rsidP="00EC674A">
      <w:pPr>
        <w:pStyle w:val="FootnoteText"/>
        <w:jc w:val="both"/>
        <w:outlineLvl w:val="0"/>
        <w:rPr>
          <w:rFonts w:ascii="Arial" w:hAnsi="Arial" w:cs="Arial"/>
          <w:sz w:val="24"/>
        </w:rPr>
      </w:pPr>
      <w:r>
        <w:rPr>
          <w:rStyle w:val="FootnoteReference"/>
        </w:rPr>
        <w:footnoteRef/>
      </w:r>
      <w:r>
        <w:t xml:space="preserve"> </w:t>
      </w:r>
      <w:r w:rsidRPr="00EC674A">
        <w:rPr>
          <w:rFonts w:ascii="Arial" w:hAnsi="Arial" w:cs="Arial"/>
          <w:sz w:val="24"/>
        </w:rPr>
        <w:t xml:space="preserve">As to </w:t>
      </w:r>
      <w:r w:rsidR="006832C2">
        <w:rPr>
          <w:rFonts w:ascii="Arial" w:hAnsi="Arial" w:cs="Arial"/>
          <w:sz w:val="24"/>
        </w:rPr>
        <w:t xml:space="preserve">the instant </w:t>
      </w:r>
      <w:r w:rsidRPr="00EC674A">
        <w:rPr>
          <w:rFonts w:ascii="Arial" w:hAnsi="Arial" w:cs="Arial"/>
          <w:sz w:val="24"/>
        </w:rPr>
        <w:t xml:space="preserve">discovery inquires, there is certainly sufficient evidence </w:t>
      </w:r>
      <w:r w:rsidR="006832C2">
        <w:rPr>
          <w:rFonts w:ascii="Arial" w:hAnsi="Arial" w:cs="Arial"/>
          <w:sz w:val="24"/>
        </w:rPr>
        <w:t xml:space="preserve">already </w:t>
      </w:r>
      <w:r w:rsidRPr="00EC674A">
        <w:rPr>
          <w:rFonts w:ascii="Arial" w:hAnsi="Arial" w:cs="Arial"/>
          <w:sz w:val="24"/>
        </w:rPr>
        <w:t xml:space="preserve">to satisfy the low-bar of the Rule 26 standard set forth above—enough to allow the </w:t>
      </w:r>
      <w:r w:rsidR="006832C2">
        <w:rPr>
          <w:rFonts w:ascii="Arial" w:hAnsi="Arial" w:cs="Arial"/>
          <w:sz w:val="24"/>
        </w:rPr>
        <w:t xml:space="preserve">requested </w:t>
      </w:r>
      <w:r w:rsidRPr="00EC674A">
        <w:rPr>
          <w:rFonts w:ascii="Arial" w:hAnsi="Arial" w:cs="Arial"/>
          <w:sz w:val="24"/>
        </w:rPr>
        <w:t xml:space="preserve">discovery into whether Isam was and is </w:t>
      </w:r>
      <w:r w:rsidRPr="00EC674A">
        <w:rPr>
          <w:rFonts w:ascii="Arial" w:hAnsi="Arial" w:cs="Arial"/>
          <w:i/>
          <w:iCs/>
          <w:sz w:val="24"/>
        </w:rPr>
        <w:t>also</w:t>
      </w:r>
      <w:r w:rsidRPr="00EC674A">
        <w:rPr>
          <w:rFonts w:ascii="Arial" w:hAnsi="Arial" w:cs="Arial"/>
          <w:sz w:val="24"/>
        </w:rPr>
        <w:t xml:space="preserve"> a wrongdoe</w:t>
      </w:r>
      <w:r w:rsidR="006832C2">
        <w:rPr>
          <w:rFonts w:ascii="Arial" w:hAnsi="Arial" w:cs="Arial"/>
          <w:sz w:val="24"/>
        </w:rPr>
        <w:t>r</w:t>
      </w:r>
      <w:r w:rsidRPr="00EC674A">
        <w:rPr>
          <w:rFonts w:ascii="Arial" w:hAnsi="Arial" w:cs="Arial"/>
          <w:sz w:val="24"/>
        </w:rPr>
        <w:t>. The</w:t>
      </w:r>
      <w:r w:rsidR="00143484">
        <w:rPr>
          <w:rFonts w:ascii="Arial" w:hAnsi="Arial" w:cs="Arial"/>
          <w:sz w:val="24"/>
        </w:rPr>
        <w:t>r</w:t>
      </w:r>
      <w:r w:rsidRPr="00EC674A">
        <w:rPr>
          <w:rFonts w:ascii="Arial" w:hAnsi="Arial" w:cs="Arial"/>
          <w:sz w:val="24"/>
        </w:rPr>
        <w:t>e is a</w:t>
      </w:r>
      <w:r w:rsidR="006832C2">
        <w:rPr>
          <w:rFonts w:ascii="Arial" w:hAnsi="Arial" w:cs="Arial"/>
          <w:sz w:val="24"/>
        </w:rPr>
        <w:t>lso</w:t>
      </w:r>
      <w:r w:rsidRPr="00EC674A">
        <w:rPr>
          <w:rFonts w:ascii="Arial" w:hAnsi="Arial" w:cs="Arial"/>
          <w:sz w:val="24"/>
        </w:rPr>
        <w:t xml:space="preserve"> sufficient basis to allow inquiry into how he</w:t>
      </w:r>
      <w:r w:rsidR="00E61ADE">
        <w:rPr>
          <w:rFonts w:ascii="Arial" w:hAnsi="Arial" w:cs="Arial"/>
          <w:sz w:val="24"/>
        </w:rPr>
        <w:t>,</w:t>
      </w:r>
      <w:r w:rsidRPr="00EC674A">
        <w:rPr>
          <w:rFonts w:ascii="Arial" w:hAnsi="Arial" w:cs="Arial"/>
          <w:sz w:val="24"/>
        </w:rPr>
        <w:t xml:space="preserve"> and </w:t>
      </w:r>
      <w:r w:rsidR="00E61ADE">
        <w:rPr>
          <w:rFonts w:ascii="Arial" w:hAnsi="Arial" w:cs="Arial"/>
          <w:sz w:val="24"/>
        </w:rPr>
        <w:t xml:space="preserve">his </w:t>
      </w:r>
      <w:r w:rsidR="006832C2">
        <w:rPr>
          <w:rFonts w:ascii="Arial" w:hAnsi="Arial" w:cs="Arial"/>
          <w:sz w:val="24"/>
        </w:rPr>
        <w:t xml:space="preserve">refusal to disclose his </w:t>
      </w:r>
      <w:r w:rsidRPr="00EC674A">
        <w:rPr>
          <w:rFonts w:ascii="Arial" w:hAnsi="Arial" w:cs="Arial"/>
          <w:sz w:val="24"/>
        </w:rPr>
        <w:t>bank account information</w:t>
      </w:r>
      <w:r w:rsidR="00E61ADE">
        <w:rPr>
          <w:rFonts w:ascii="Arial" w:hAnsi="Arial" w:cs="Arial"/>
          <w:sz w:val="24"/>
        </w:rPr>
        <w:t>,</w:t>
      </w:r>
      <w:r w:rsidRPr="00EC674A">
        <w:rPr>
          <w:rFonts w:ascii="Arial" w:hAnsi="Arial" w:cs="Arial"/>
          <w:sz w:val="24"/>
        </w:rPr>
        <w:t xml:space="preserve"> </w:t>
      </w:r>
      <w:r w:rsidR="00E61ADE">
        <w:rPr>
          <w:rFonts w:ascii="Arial" w:hAnsi="Arial" w:cs="Arial"/>
          <w:sz w:val="24"/>
        </w:rPr>
        <w:t xml:space="preserve">are a central part of </w:t>
      </w:r>
      <w:r w:rsidRPr="00EC674A">
        <w:rPr>
          <w:rFonts w:ascii="Arial" w:hAnsi="Arial" w:cs="Arial"/>
          <w:sz w:val="24"/>
        </w:rPr>
        <w:t>the present CICO fraud and conspiracy.</w:t>
      </w:r>
    </w:p>
    <w:p w14:paraId="765458D8" w14:textId="77777777" w:rsidR="00C01181" w:rsidRPr="00C01181" w:rsidRDefault="00C01181" w:rsidP="00EC674A">
      <w:pPr>
        <w:pStyle w:val="FootnoteText"/>
        <w:jc w:val="both"/>
        <w:outlineLvl w:val="0"/>
        <w:rPr>
          <w:sz w:val="8"/>
          <w:szCs w:val="8"/>
        </w:rPr>
      </w:pPr>
    </w:p>
  </w:footnote>
  <w:footnote w:id="10">
    <w:p w14:paraId="11286DEE" w14:textId="0FE4E73B" w:rsidR="006832C2" w:rsidRDefault="000031AC" w:rsidP="000031AC">
      <w:pPr>
        <w:pStyle w:val="FootnoteText"/>
        <w:jc w:val="both"/>
        <w:outlineLvl w:val="0"/>
        <w:rPr>
          <w:rFonts w:ascii="Arial" w:hAnsi="Arial" w:cs="Arial"/>
          <w:sz w:val="24"/>
          <w:szCs w:val="24"/>
        </w:rPr>
      </w:pPr>
      <w:r w:rsidRPr="00661E0F">
        <w:rPr>
          <w:rStyle w:val="FootnoteReference"/>
          <w:rFonts w:ascii="Arial" w:hAnsi="Arial" w:cs="Arial"/>
          <w:sz w:val="24"/>
          <w:szCs w:val="24"/>
        </w:rPr>
        <w:footnoteRef/>
      </w:r>
      <w:r w:rsidRPr="00661E0F">
        <w:rPr>
          <w:rFonts w:ascii="Arial" w:hAnsi="Arial" w:cs="Arial"/>
          <w:sz w:val="24"/>
          <w:szCs w:val="24"/>
        </w:rPr>
        <w:t xml:space="preserve"> Foremost, Hisham Hamed is not alleged to have participated in any act or wrongdoing </w:t>
      </w:r>
      <w:r w:rsidR="006832C2">
        <w:rPr>
          <w:rFonts w:ascii="Arial" w:hAnsi="Arial" w:cs="Arial"/>
          <w:sz w:val="24"/>
          <w:szCs w:val="24"/>
        </w:rPr>
        <w:t>with regard to this case or the companion foreclosure</w:t>
      </w:r>
      <w:r w:rsidRPr="00661E0F">
        <w:rPr>
          <w:rFonts w:ascii="Arial" w:hAnsi="Arial" w:cs="Arial"/>
          <w:sz w:val="24"/>
          <w:szCs w:val="24"/>
        </w:rPr>
        <w:t xml:space="preserve">. </w:t>
      </w:r>
      <w:r>
        <w:rPr>
          <w:rFonts w:ascii="Arial" w:hAnsi="Arial" w:cs="Arial"/>
          <w:sz w:val="24"/>
          <w:szCs w:val="24"/>
        </w:rPr>
        <w:t>The clean hands doctrine does not apply to him in his individual capacity. (</w:t>
      </w:r>
      <w:r w:rsidRPr="00661E0F">
        <w:rPr>
          <w:rFonts w:ascii="Arial" w:hAnsi="Arial" w:cs="Arial"/>
          <w:sz w:val="24"/>
          <w:szCs w:val="24"/>
        </w:rPr>
        <w:t xml:space="preserve">He was in </w:t>
      </w:r>
      <w:r w:rsidR="006832C2">
        <w:rPr>
          <w:rFonts w:ascii="Arial" w:hAnsi="Arial" w:cs="Arial"/>
          <w:sz w:val="24"/>
          <w:szCs w:val="24"/>
        </w:rPr>
        <w:t>school</w:t>
      </w:r>
      <w:r w:rsidRPr="00661E0F">
        <w:rPr>
          <w:rFonts w:ascii="Arial" w:hAnsi="Arial" w:cs="Arial"/>
          <w:sz w:val="24"/>
          <w:szCs w:val="24"/>
        </w:rPr>
        <w:t xml:space="preserve"> when the 1996-1997 acts occurred.</w:t>
      </w:r>
      <w:r>
        <w:rPr>
          <w:rFonts w:ascii="Arial" w:hAnsi="Arial" w:cs="Arial"/>
          <w:sz w:val="24"/>
          <w:szCs w:val="24"/>
        </w:rPr>
        <w:t>)</w:t>
      </w:r>
      <w:r w:rsidRPr="00661E0F">
        <w:rPr>
          <w:rFonts w:ascii="Arial" w:hAnsi="Arial" w:cs="Arial"/>
          <w:sz w:val="24"/>
          <w:szCs w:val="24"/>
        </w:rPr>
        <w:t xml:space="preserve"> Moreover, this is notice pleading.</w:t>
      </w:r>
      <w:r w:rsidR="006832C2">
        <w:rPr>
          <w:rFonts w:ascii="Arial" w:hAnsi="Arial" w:cs="Arial"/>
          <w:sz w:val="24"/>
          <w:szCs w:val="24"/>
        </w:rPr>
        <w:t xml:space="preserve"> </w:t>
      </w:r>
      <w:r>
        <w:rPr>
          <w:rFonts w:ascii="Arial" w:hAnsi="Arial" w:cs="Arial"/>
          <w:sz w:val="24"/>
          <w:szCs w:val="24"/>
        </w:rPr>
        <w:t xml:space="preserve">The complaint </w:t>
      </w:r>
      <w:r w:rsidR="006832C2">
        <w:rPr>
          <w:rFonts w:ascii="Arial" w:hAnsi="Arial" w:cs="Arial"/>
          <w:sz w:val="24"/>
          <w:szCs w:val="24"/>
        </w:rPr>
        <w:t>alleges</w:t>
      </w:r>
      <w:r>
        <w:rPr>
          <w:rFonts w:ascii="Arial" w:hAnsi="Arial" w:cs="Arial"/>
          <w:sz w:val="24"/>
          <w:szCs w:val="24"/>
        </w:rPr>
        <w:t xml:space="preserve"> </w:t>
      </w:r>
      <w:r w:rsidRPr="00661E0F">
        <w:rPr>
          <w:rFonts w:ascii="Arial" w:hAnsi="Arial" w:cs="Arial"/>
          <w:sz w:val="24"/>
          <w:szCs w:val="24"/>
        </w:rPr>
        <w:t>Isam</w:t>
      </w:r>
      <w:r>
        <w:rPr>
          <w:rFonts w:ascii="Arial" w:hAnsi="Arial" w:cs="Arial"/>
          <w:sz w:val="24"/>
          <w:szCs w:val="24"/>
        </w:rPr>
        <w:t xml:space="preserve"> is </w:t>
      </w:r>
      <w:r w:rsidRPr="00661E0F">
        <w:rPr>
          <w:rFonts w:ascii="Arial" w:hAnsi="Arial" w:cs="Arial"/>
          <w:sz w:val="24"/>
          <w:szCs w:val="24"/>
        </w:rPr>
        <w:t xml:space="preserve">clearly the pivotal person in the STM portion of these activities, </w:t>
      </w:r>
      <w:r>
        <w:rPr>
          <w:rFonts w:ascii="Arial" w:hAnsi="Arial" w:cs="Arial"/>
          <w:sz w:val="24"/>
          <w:szCs w:val="24"/>
        </w:rPr>
        <w:t xml:space="preserve">and he would thus be </w:t>
      </w:r>
      <w:r w:rsidRPr="00661E0F">
        <w:rPr>
          <w:rFonts w:ascii="Arial" w:hAnsi="Arial" w:cs="Arial"/>
          <w:sz w:val="24"/>
          <w:szCs w:val="24"/>
        </w:rPr>
        <w:t xml:space="preserve">hard pressed to suggest that Hamed failed to give notice here of </w:t>
      </w:r>
      <w:r w:rsidR="006832C2">
        <w:rPr>
          <w:rFonts w:ascii="Arial" w:hAnsi="Arial" w:cs="Arial"/>
          <w:sz w:val="24"/>
          <w:szCs w:val="24"/>
        </w:rPr>
        <w:t>his</w:t>
      </w:r>
      <w:r w:rsidRPr="00661E0F">
        <w:rPr>
          <w:rFonts w:ascii="Arial" w:hAnsi="Arial" w:cs="Arial"/>
          <w:sz w:val="24"/>
          <w:szCs w:val="24"/>
        </w:rPr>
        <w:t xml:space="preserve"> involvement </w:t>
      </w:r>
      <w:r w:rsidR="006832C2">
        <w:rPr>
          <w:rFonts w:ascii="Arial" w:hAnsi="Arial" w:cs="Arial"/>
          <w:sz w:val="24"/>
          <w:szCs w:val="24"/>
        </w:rPr>
        <w:t>with</w:t>
      </w:r>
      <w:r w:rsidRPr="00661E0F">
        <w:rPr>
          <w:rFonts w:ascii="Arial" w:hAnsi="Arial" w:cs="Arial"/>
          <w:sz w:val="24"/>
          <w:szCs w:val="24"/>
        </w:rPr>
        <w:t xml:space="preserve"> all of the defendants in multiple criminal acts, a conspiracy, and wrongful acts in multiple countries. For Isam to raise the involvement of </w:t>
      </w:r>
      <w:r w:rsidRPr="00661E0F">
        <w:rPr>
          <w:rFonts w:ascii="Arial" w:hAnsi="Arial" w:cs="Arial"/>
          <w:i/>
          <w:iCs/>
          <w:sz w:val="24"/>
          <w:szCs w:val="24"/>
          <w:u w:val="single"/>
        </w:rPr>
        <w:t>just</w:t>
      </w:r>
      <w:r w:rsidRPr="00661E0F">
        <w:rPr>
          <w:rFonts w:ascii="Arial" w:hAnsi="Arial" w:cs="Arial"/>
          <w:sz w:val="24"/>
          <w:szCs w:val="24"/>
        </w:rPr>
        <w:t xml:space="preserve"> Sixteen Plus and ignore the actions of Isam, Manal, Fathi, Jamil, Yussrah Yusuf and others is </w:t>
      </w:r>
      <w:r w:rsidR="00C01181">
        <w:rPr>
          <w:rFonts w:ascii="Arial" w:hAnsi="Arial" w:cs="Arial"/>
          <w:sz w:val="24"/>
          <w:szCs w:val="24"/>
        </w:rPr>
        <w:t>disappointing</w:t>
      </w:r>
      <w:r w:rsidRPr="00661E0F">
        <w:rPr>
          <w:rFonts w:ascii="Arial" w:hAnsi="Arial" w:cs="Arial"/>
          <w:sz w:val="24"/>
          <w:szCs w:val="24"/>
        </w:rPr>
        <w:t xml:space="preserve">. What Isam is </w:t>
      </w:r>
      <w:r w:rsidR="00C01181">
        <w:rPr>
          <w:rFonts w:ascii="Arial" w:hAnsi="Arial" w:cs="Arial"/>
          <w:sz w:val="24"/>
          <w:szCs w:val="24"/>
        </w:rPr>
        <w:t xml:space="preserve">actually </w:t>
      </w:r>
      <w:r w:rsidRPr="00661E0F">
        <w:rPr>
          <w:rFonts w:ascii="Arial" w:hAnsi="Arial" w:cs="Arial"/>
          <w:sz w:val="24"/>
          <w:szCs w:val="24"/>
        </w:rPr>
        <w:t>arguing is</w:t>
      </w:r>
      <w:r w:rsidR="00C01181">
        <w:rPr>
          <w:rFonts w:ascii="Arial" w:hAnsi="Arial" w:cs="Arial"/>
          <w:sz w:val="24"/>
          <w:szCs w:val="24"/>
        </w:rPr>
        <w:t xml:space="preserve">: </w:t>
      </w:r>
      <w:r w:rsidRPr="00661E0F">
        <w:rPr>
          <w:rFonts w:ascii="Arial" w:hAnsi="Arial" w:cs="Arial"/>
          <w:sz w:val="24"/>
          <w:szCs w:val="24"/>
        </w:rPr>
        <w:t>because Sixteen Plus did wrong</w:t>
      </w:r>
      <w:r w:rsidR="006832C2">
        <w:rPr>
          <w:rFonts w:ascii="Arial" w:hAnsi="Arial" w:cs="Arial"/>
          <w:sz w:val="24"/>
          <w:szCs w:val="24"/>
        </w:rPr>
        <w:t xml:space="preserve"> in 1996-2003</w:t>
      </w:r>
      <w:r w:rsidRPr="00661E0F">
        <w:rPr>
          <w:rFonts w:ascii="Arial" w:hAnsi="Arial" w:cs="Arial"/>
          <w:sz w:val="24"/>
          <w:szCs w:val="24"/>
        </w:rPr>
        <w:t xml:space="preserve">, Manal, Isam and Fathi should </w:t>
      </w:r>
      <w:r>
        <w:rPr>
          <w:rFonts w:ascii="Arial" w:hAnsi="Arial" w:cs="Arial"/>
          <w:sz w:val="24"/>
          <w:szCs w:val="24"/>
        </w:rPr>
        <w:t>(a) avoid discovery</w:t>
      </w:r>
      <w:r w:rsidR="006832C2">
        <w:rPr>
          <w:rFonts w:ascii="Arial" w:hAnsi="Arial" w:cs="Arial"/>
          <w:sz w:val="24"/>
          <w:szCs w:val="24"/>
        </w:rPr>
        <w:t xml:space="preserve"> now</w:t>
      </w:r>
      <w:r>
        <w:rPr>
          <w:rFonts w:ascii="Arial" w:hAnsi="Arial" w:cs="Arial"/>
          <w:sz w:val="24"/>
          <w:szCs w:val="24"/>
        </w:rPr>
        <w:t xml:space="preserve">, and (b) </w:t>
      </w:r>
      <w:r w:rsidRPr="00661E0F">
        <w:rPr>
          <w:rFonts w:ascii="Arial" w:hAnsi="Arial" w:cs="Arial"/>
          <w:sz w:val="24"/>
          <w:szCs w:val="24"/>
        </w:rPr>
        <w:t xml:space="preserve">get a default award of what Fathi says is $30 million </w:t>
      </w:r>
      <w:r w:rsidR="006832C2">
        <w:rPr>
          <w:rFonts w:ascii="Arial" w:hAnsi="Arial" w:cs="Arial"/>
          <w:sz w:val="24"/>
          <w:szCs w:val="24"/>
        </w:rPr>
        <w:t xml:space="preserve">worth of </w:t>
      </w:r>
      <w:r w:rsidRPr="00661E0F">
        <w:rPr>
          <w:rFonts w:ascii="Arial" w:hAnsi="Arial" w:cs="Arial"/>
          <w:sz w:val="24"/>
          <w:szCs w:val="24"/>
        </w:rPr>
        <w:t xml:space="preserve">real estate. This is legally </w:t>
      </w:r>
      <w:r w:rsidR="00C01181">
        <w:rPr>
          <w:rFonts w:ascii="Arial" w:hAnsi="Arial" w:cs="Arial"/>
          <w:sz w:val="24"/>
          <w:szCs w:val="24"/>
        </w:rPr>
        <w:t>incorrect</w:t>
      </w:r>
      <w:r>
        <w:rPr>
          <w:rFonts w:ascii="Arial" w:hAnsi="Arial" w:cs="Arial"/>
          <w:sz w:val="24"/>
          <w:szCs w:val="24"/>
        </w:rPr>
        <w:t xml:space="preserve"> </w:t>
      </w:r>
      <w:r w:rsidRPr="00661E0F">
        <w:rPr>
          <w:rFonts w:ascii="Arial" w:hAnsi="Arial" w:cs="Arial"/>
          <w:sz w:val="24"/>
          <w:szCs w:val="24"/>
        </w:rPr>
        <w:t xml:space="preserve">and </w:t>
      </w:r>
      <w:r w:rsidR="00C01181">
        <w:rPr>
          <w:rFonts w:ascii="Arial" w:hAnsi="Arial" w:cs="Arial"/>
          <w:sz w:val="24"/>
          <w:szCs w:val="24"/>
        </w:rPr>
        <w:t xml:space="preserve">sadly </w:t>
      </w:r>
      <w:r>
        <w:rPr>
          <w:rFonts w:ascii="Arial" w:hAnsi="Arial" w:cs="Arial"/>
          <w:sz w:val="24"/>
          <w:szCs w:val="24"/>
        </w:rPr>
        <w:t xml:space="preserve">lacks a certain moral equivalency. </w:t>
      </w:r>
    </w:p>
    <w:p w14:paraId="0BC46022" w14:textId="2CD3DB55" w:rsidR="000031AC" w:rsidRPr="00661E0F" w:rsidRDefault="006832C2" w:rsidP="000031AC">
      <w:pPr>
        <w:pStyle w:val="FootnoteText"/>
        <w:jc w:val="both"/>
        <w:outlineLvl w:val="0"/>
        <w:rPr>
          <w:rFonts w:ascii="Arial" w:hAnsi="Arial" w:cs="Arial"/>
          <w:sz w:val="24"/>
          <w:szCs w:val="24"/>
        </w:rPr>
      </w:pPr>
      <w:r>
        <w:rPr>
          <w:rFonts w:ascii="Arial" w:hAnsi="Arial" w:cs="Arial"/>
          <w:sz w:val="24"/>
          <w:szCs w:val="24"/>
        </w:rPr>
        <w:t xml:space="preserve">     </w:t>
      </w:r>
      <w:r w:rsidR="000031AC">
        <w:rPr>
          <w:rFonts w:ascii="Arial" w:hAnsi="Arial" w:cs="Arial"/>
          <w:sz w:val="24"/>
          <w:szCs w:val="24"/>
        </w:rPr>
        <w:t>Moreover, t</w:t>
      </w:r>
      <w:r w:rsidR="000031AC" w:rsidRPr="00661E0F">
        <w:rPr>
          <w:rFonts w:ascii="Arial" w:hAnsi="Arial" w:cs="Arial"/>
          <w:sz w:val="24"/>
          <w:szCs w:val="24"/>
        </w:rPr>
        <w:t xml:space="preserve">he Hameds </w:t>
      </w:r>
      <w:r w:rsidR="000031AC">
        <w:rPr>
          <w:rFonts w:ascii="Arial" w:hAnsi="Arial" w:cs="Arial"/>
          <w:sz w:val="24"/>
          <w:szCs w:val="24"/>
        </w:rPr>
        <w:t xml:space="preserve">and Yusufs </w:t>
      </w:r>
      <w:r w:rsidR="000031AC" w:rsidRPr="00661E0F">
        <w:rPr>
          <w:rFonts w:ascii="Arial" w:hAnsi="Arial" w:cs="Arial"/>
          <w:sz w:val="24"/>
          <w:szCs w:val="24"/>
        </w:rPr>
        <w:t xml:space="preserve">paid the back taxes and a </w:t>
      </w:r>
      <w:r w:rsidR="000031AC">
        <w:rPr>
          <w:rFonts w:ascii="Arial" w:hAnsi="Arial" w:cs="Arial"/>
          <w:sz w:val="24"/>
          <w:szCs w:val="24"/>
        </w:rPr>
        <w:t xml:space="preserve">million dollar </w:t>
      </w:r>
      <w:r w:rsidR="000031AC" w:rsidRPr="00661E0F">
        <w:rPr>
          <w:rFonts w:ascii="Arial" w:hAnsi="Arial" w:cs="Arial"/>
          <w:sz w:val="24"/>
          <w:szCs w:val="24"/>
        </w:rPr>
        <w:t>fine</w:t>
      </w:r>
      <w:r w:rsidR="000031AC">
        <w:rPr>
          <w:rFonts w:ascii="Arial" w:hAnsi="Arial" w:cs="Arial"/>
          <w:sz w:val="24"/>
          <w:szCs w:val="24"/>
        </w:rPr>
        <w:t xml:space="preserve"> on their funds</w:t>
      </w:r>
      <w:r w:rsidR="000031AC" w:rsidRPr="00661E0F">
        <w:rPr>
          <w:rFonts w:ascii="Arial" w:hAnsi="Arial" w:cs="Arial"/>
          <w:sz w:val="24"/>
          <w:szCs w:val="24"/>
        </w:rPr>
        <w:t>—</w:t>
      </w:r>
      <w:r w:rsidR="000031AC">
        <w:rPr>
          <w:rFonts w:ascii="Arial" w:hAnsi="Arial" w:cs="Arial"/>
          <w:sz w:val="24"/>
          <w:szCs w:val="24"/>
        </w:rPr>
        <w:t xml:space="preserve">but </w:t>
      </w:r>
      <w:r w:rsidR="000031AC" w:rsidRPr="00661E0F">
        <w:rPr>
          <w:rFonts w:ascii="Arial" w:hAnsi="Arial" w:cs="Arial"/>
          <w:sz w:val="24"/>
          <w:szCs w:val="24"/>
        </w:rPr>
        <w:t xml:space="preserve">Manal admits she </w:t>
      </w:r>
      <w:r>
        <w:rPr>
          <w:rFonts w:ascii="Arial" w:hAnsi="Arial" w:cs="Arial"/>
          <w:sz w:val="24"/>
          <w:szCs w:val="24"/>
        </w:rPr>
        <w:t xml:space="preserve">and Isam </w:t>
      </w:r>
      <w:r w:rsidR="000031AC" w:rsidRPr="00661E0F">
        <w:rPr>
          <w:rFonts w:ascii="Arial" w:hAnsi="Arial" w:cs="Arial"/>
          <w:sz w:val="24"/>
          <w:szCs w:val="24"/>
        </w:rPr>
        <w:t xml:space="preserve">never paid </w:t>
      </w:r>
      <w:r w:rsidR="000031AC">
        <w:rPr>
          <w:rFonts w:ascii="Arial" w:hAnsi="Arial" w:cs="Arial"/>
          <w:sz w:val="24"/>
          <w:szCs w:val="24"/>
        </w:rPr>
        <w:t xml:space="preserve">any </w:t>
      </w:r>
      <w:r w:rsidR="000031AC" w:rsidRPr="00661E0F">
        <w:rPr>
          <w:rFonts w:ascii="Arial" w:hAnsi="Arial" w:cs="Arial"/>
          <w:sz w:val="24"/>
          <w:szCs w:val="24"/>
        </w:rPr>
        <w:t>taxes</w:t>
      </w:r>
      <w:r w:rsidR="000031AC">
        <w:rPr>
          <w:rFonts w:ascii="Arial" w:hAnsi="Arial" w:cs="Arial"/>
          <w:sz w:val="24"/>
          <w:szCs w:val="24"/>
        </w:rPr>
        <w:t xml:space="preserve"> on more than a million dollars and </w:t>
      </w:r>
      <w:r>
        <w:rPr>
          <w:rFonts w:ascii="Arial" w:hAnsi="Arial" w:cs="Arial"/>
          <w:sz w:val="24"/>
          <w:szCs w:val="24"/>
        </w:rPr>
        <w:t xml:space="preserve">they </w:t>
      </w:r>
      <w:r w:rsidR="000031AC">
        <w:rPr>
          <w:rFonts w:ascii="Arial" w:hAnsi="Arial" w:cs="Arial"/>
          <w:sz w:val="24"/>
          <w:szCs w:val="24"/>
        </w:rPr>
        <w:t>ha</w:t>
      </w:r>
      <w:r>
        <w:rPr>
          <w:rFonts w:ascii="Arial" w:hAnsi="Arial" w:cs="Arial"/>
          <w:sz w:val="24"/>
          <w:szCs w:val="24"/>
        </w:rPr>
        <w:t>ve</w:t>
      </w:r>
      <w:r w:rsidR="000031AC">
        <w:rPr>
          <w:rFonts w:ascii="Arial" w:hAnsi="Arial" w:cs="Arial"/>
          <w:sz w:val="24"/>
          <w:szCs w:val="24"/>
        </w:rPr>
        <w:t xml:space="preserve"> repeatedly sworn to what Hamed will show are blatant falsehoods</w:t>
      </w:r>
      <w:r>
        <w:rPr>
          <w:rFonts w:ascii="Arial" w:hAnsi="Arial" w:cs="Arial"/>
          <w:sz w:val="24"/>
          <w:szCs w:val="24"/>
        </w:rPr>
        <w:t xml:space="preserve"> in the present</w:t>
      </w:r>
      <w:r w:rsidR="000031AC">
        <w:rPr>
          <w:rFonts w:ascii="Arial" w:hAnsi="Arial" w:cs="Arial"/>
          <w:sz w:val="24"/>
          <w:szCs w:val="24"/>
        </w:rPr>
        <w:t xml:space="preserve">. </w:t>
      </w:r>
      <w:r w:rsidR="000031AC" w:rsidRPr="00661E0F">
        <w:rPr>
          <w:rFonts w:ascii="Arial" w:hAnsi="Arial" w:cs="Arial"/>
          <w:sz w:val="24"/>
          <w:szCs w:val="24"/>
        </w:rPr>
        <w:t>Fathi has taken the Fifth, and Isam is a superstar in two French investigations where the</w:t>
      </w:r>
      <w:r w:rsidR="000031AC">
        <w:rPr>
          <w:rFonts w:ascii="Arial" w:hAnsi="Arial" w:cs="Arial"/>
          <w:sz w:val="24"/>
          <w:szCs w:val="24"/>
        </w:rPr>
        <w:t xml:space="preserve"> investigators</w:t>
      </w:r>
      <w:r w:rsidR="000031AC" w:rsidRPr="00661E0F">
        <w:rPr>
          <w:rFonts w:ascii="Arial" w:hAnsi="Arial" w:cs="Arial"/>
          <w:sz w:val="24"/>
          <w:szCs w:val="24"/>
        </w:rPr>
        <w:t xml:space="preserve"> documented $8 million flowing in and out of </w:t>
      </w:r>
      <w:r w:rsidR="000031AC">
        <w:rPr>
          <w:rFonts w:ascii="Arial" w:hAnsi="Arial" w:cs="Arial"/>
          <w:sz w:val="24"/>
          <w:szCs w:val="24"/>
        </w:rPr>
        <w:t>these very</w:t>
      </w:r>
      <w:r w:rsidR="000031AC" w:rsidRPr="00661E0F">
        <w:rPr>
          <w:rFonts w:ascii="Arial" w:hAnsi="Arial" w:cs="Arial"/>
          <w:sz w:val="24"/>
          <w:szCs w:val="24"/>
        </w:rPr>
        <w:t xml:space="preserve"> accounts in </w:t>
      </w:r>
      <w:r>
        <w:rPr>
          <w:rFonts w:ascii="Arial" w:hAnsi="Arial" w:cs="Arial"/>
          <w:sz w:val="24"/>
          <w:szCs w:val="24"/>
        </w:rPr>
        <w:t>a</w:t>
      </w:r>
      <w:r w:rsidR="000031AC" w:rsidRPr="00661E0F">
        <w:rPr>
          <w:rFonts w:ascii="Arial" w:hAnsi="Arial" w:cs="Arial"/>
          <w:sz w:val="24"/>
          <w:szCs w:val="24"/>
        </w:rPr>
        <w:t xml:space="preserve"> single day. He lied in his discovery responses about his </w:t>
      </w:r>
      <w:r w:rsidR="000031AC">
        <w:rPr>
          <w:rFonts w:ascii="Arial" w:hAnsi="Arial" w:cs="Arial"/>
          <w:sz w:val="24"/>
          <w:szCs w:val="24"/>
        </w:rPr>
        <w:t xml:space="preserve">massive </w:t>
      </w:r>
      <w:r w:rsidR="000031AC" w:rsidRPr="00661E0F">
        <w:rPr>
          <w:rFonts w:ascii="Arial" w:hAnsi="Arial" w:cs="Arial"/>
          <w:sz w:val="24"/>
          <w:szCs w:val="24"/>
        </w:rPr>
        <w:t>Amman</w:t>
      </w:r>
      <w:r w:rsidR="000031AC">
        <w:rPr>
          <w:rFonts w:ascii="Arial" w:hAnsi="Arial" w:cs="Arial"/>
          <w:sz w:val="24"/>
          <w:szCs w:val="24"/>
        </w:rPr>
        <w:t>, Jordan</w:t>
      </w:r>
      <w:r w:rsidR="000031AC" w:rsidRPr="00661E0F">
        <w:rPr>
          <w:rFonts w:ascii="Arial" w:hAnsi="Arial" w:cs="Arial"/>
          <w:sz w:val="24"/>
          <w:szCs w:val="24"/>
        </w:rPr>
        <w:t xml:space="preserve"> account. He lied about what accounts he has and where they are. Hardly a good record as a basis for name-calling in </w:t>
      </w:r>
      <w:r w:rsidR="000031AC">
        <w:rPr>
          <w:rFonts w:ascii="Arial" w:hAnsi="Arial" w:cs="Arial"/>
          <w:sz w:val="24"/>
          <w:szCs w:val="24"/>
        </w:rPr>
        <w:t xml:space="preserve">preliminary </w:t>
      </w:r>
      <w:r w:rsidR="000031AC" w:rsidRPr="00661E0F">
        <w:rPr>
          <w:rFonts w:ascii="Arial" w:hAnsi="Arial" w:cs="Arial"/>
          <w:sz w:val="24"/>
          <w:szCs w:val="24"/>
        </w:rPr>
        <w:t xml:space="preserve">discovery motions. Both the goose and the gander will have their day in court when it comes to </w:t>
      </w:r>
      <w:r w:rsidR="000031AC">
        <w:rPr>
          <w:rFonts w:ascii="Arial" w:hAnsi="Arial" w:cs="Arial"/>
          <w:sz w:val="24"/>
          <w:szCs w:val="24"/>
        </w:rPr>
        <w:t xml:space="preserve">finger-pointing and </w:t>
      </w:r>
      <w:r w:rsidR="000031AC" w:rsidRPr="00661E0F">
        <w:rPr>
          <w:rFonts w:ascii="Arial" w:hAnsi="Arial" w:cs="Arial"/>
          <w:sz w:val="24"/>
          <w:szCs w:val="24"/>
        </w:rPr>
        <w:t xml:space="preserve">allegations of wrongdoing—but that </w:t>
      </w:r>
      <w:r w:rsidR="000031AC">
        <w:rPr>
          <w:rFonts w:ascii="Arial" w:hAnsi="Arial" w:cs="Arial"/>
          <w:sz w:val="24"/>
          <w:szCs w:val="24"/>
        </w:rPr>
        <w:t xml:space="preserve">day will not arrive </w:t>
      </w:r>
      <w:r w:rsidR="000031AC" w:rsidRPr="00661E0F">
        <w:rPr>
          <w:rFonts w:ascii="Arial" w:hAnsi="Arial" w:cs="Arial"/>
          <w:sz w:val="24"/>
          <w:szCs w:val="24"/>
        </w:rPr>
        <w:t>if Isam continues</w:t>
      </w:r>
      <w:r>
        <w:rPr>
          <w:rFonts w:ascii="Arial" w:hAnsi="Arial" w:cs="Arial"/>
          <w:sz w:val="24"/>
          <w:szCs w:val="24"/>
        </w:rPr>
        <w:t xml:space="preserve"> </w:t>
      </w:r>
      <w:r w:rsidR="000031AC" w:rsidRPr="00661E0F">
        <w:rPr>
          <w:rFonts w:ascii="Arial" w:hAnsi="Arial" w:cs="Arial"/>
          <w:sz w:val="24"/>
          <w:szCs w:val="24"/>
        </w:rPr>
        <w:t xml:space="preserve">to </w:t>
      </w:r>
      <w:r w:rsidR="000031AC">
        <w:rPr>
          <w:rFonts w:ascii="Arial" w:hAnsi="Arial" w:cs="Arial"/>
          <w:sz w:val="24"/>
          <w:szCs w:val="24"/>
        </w:rPr>
        <w:t xml:space="preserve">delay by </w:t>
      </w:r>
      <w:r w:rsidR="000031AC" w:rsidRPr="00661E0F">
        <w:rPr>
          <w:rFonts w:ascii="Arial" w:hAnsi="Arial" w:cs="Arial"/>
          <w:sz w:val="24"/>
          <w:szCs w:val="24"/>
        </w:rPr>
        <w:t>avoid</w:t>
      </w:r>
      <w:r w:rsidR="000031AC">
        <w:rPr>
          <w:rFonts w:ascii="Arial" w:hAnsi="Arial" w:cs="Arial"/>
          <w:sz w:val="24"/>
          <w:szCs w:val="24"/>
        </w:rPr>
        <w:t>ing</w:t>
      </w:r>
      <w:r w:rsidR="000031AC" w:rsidRPr="00661E0F">
        <w:rPr>
          <w:rFonts w:ascii="Arial" w:hAnsi="Arial" w:cs="Arial"/>
          <w:sz w:val="24"/>
          <w:szCs w:val="24"/>
        </w:rPr>
        <w:t xml:space="preserve"> BASIC discovery based on just a small part of the story</w:t>
      </w:r>
      <w:r w:rsidR="000031AC">
        <w:rPr>
          <w:rFonts w:ascii="Arial" w:hAnsi="Arial" w:cs="Arial"/>
          <w:sz w:val="24"/>
          <w:szCs w:val="24"/>
        </w:rPr>
        <w:t xml:space="preserve"> favorable to him</w:t>
      </w:r>
      <w:r w:rsidR="000031AC" w:rsidRPr="00661E0F">
        <w:rPr>
          <w:rFonts w:ascii="Arial" w:hAnsi="Arial" w:cs="Arial"/>
          <w:sz w:val="24"/>
          <w:szCs w:val="24"/>
        </w:rPr>
        <w:t>.</w:t>
      </w:r>
    </w:p>
    <w:p w14:paraId="07A89EB8" w14:textId="77777777" w:rsidR="000031AC" w:rsidRPr="00661E0F" w:rsidRDefault="000031AC" w:rsidP="000031AC">
      <w:pPr>
        <w:pStyle w:val="FootnoteText"/>
        <w:ind w:firstLine="720"/>
        <w:jc w:val="both"/>
        <w:outlineLvl w:val="0"/>
        <w:rPr>
          <w:rFonts w:ascii="Arial" w:hAnsi="Arial" w:cs="Arial"/>
          <w:color w:val="000000"/>
          <w:sz w:val="24"/>
          <w:szCs w:val="24"/>
        </w:rPr>
      </w:pPr>
      <w:r w:rsidRPr="00661E0F">
        <w:rPr>
          <w:rFonts w:ascii="Arial" w:hAnsi="Arial" w:cs="Arial"/>
          <w:sz w:val="24"/>
          <w:szCs w:val="24"/>
        </w:rPr>
        <w:t xml:space="preserve">Similarly, in the 65/342 action, </w:t>
      </w:r>
      <w:r w:rsidRPr="0092172F">
        <w:rPr>
          <w:rFonts w:ascii="Arial" w:hAnsi="Arial" w:cs="Arial"/>
          <w:color w:val="000000"/>
          <w:sz w:val="24"/>
          <w:szCs w:val="24"/>
        </w:rPr>
        <w:t>Sixteen Plus answered that counterclaim, asserting several affirmative defenses</w:t>
      </w:r>
      <w:r>
        <w:rPr>
          <w:rFonts w:ascii="Arial" w:hAnsi="Arial" w:cs="Arial"/>
          <w:color w:val="000000"/>
          <w:sz w:val="24"/>
          <w:szCs w:val="24"/>
        </w:rPr>
        <w:t>,</w:t>
      </w:r>
      <w:r w:rsidRPr="0092172F">
        <w:rPr>
          <w:rFonts w:ascii="Arial" w:hAnsi="Arial" w:cs="Arial"/>
          <w:color w:val="000000"/>
          <w:sz w:val="24"/>
          <w:szCs w:val="24"/>
        </w:rPr>
        <w:t xml:space="preserve"> including </w:t>
      </w:r>
      <w:r w:rsidRPr="0092172F">
        <w:rPr>
          <w:rFonts w:ascii="Arial" w:hAnsi="Arial" w:cs="Arial"/>
          <w:i/>
          <w:iCs/>
          <w:color w:val="000000"/>
          <w:sz w:val="24"/>
          <w:szCs w:val="24"/>
        </w:rPr>
        <w:t>in pari delicto</w:t>
      </w:r>
      <w:r w:rsidRPr="0092172F">
        <w:rPr>
          <w:rFonts w:ascii="Arial" w:hAnsi="Arial" w:cs="Arial"/>
          <w:color w:val="000000"/>
          <w:sz w:val="24"/>
          <w:szCs w:val="24"/>
        </w:rPr>
        <w:t>:</w:t>
      </w:r>
    </w:p>
    <w:p w14:paraId="6ADDAC51" w14:textId="77777777" w:rsidR="000031AC" w:rsidRPr="00C717D2" w:rsidRDefault="000031AC" w:rsidP="000031AC">
      <w:pPr>
        <w:pStyle w:val="FootnoteText"/>
        <w:jc w:val="both"/>
        <w:outlineLvl w:val="0"/>
        <w:rPr>
          <w:rFonts w:ascii="Arial" w:hAnsi="Arial" w:cs="Arial"/>
          <w:color w:val="000000"/>
          <w:sz w:val="8"/>
          <w:szCs w:val="8"/>
        </w:rPr>
      </w:pPr>
    </w:p>
    <w:p w14:paraId="55289776" w14:textId="4B2A6A36" w:rsidR="000031AC" w:rsidRDefault="000031AC" w:rsidP="000031AC">
      <w:pPr>
        <w:pStyle w:val="FootnoteText"/>
        <w:ind w:left="720" w:right="720"/>
        <w:jc w:val="both"/>
        <w:outlineLvl w:val="0"/>
        <w:rPr>
          <w:rFonts w:ascii="Arial" w:hAnsi="Arial" w:cs="Arial"/>
          <w:color w:val="000000"/>
          <w:sz w:val="24"/>
          <w:szCs w:val="24"/>
        </w:rPr>
      </w:pPr>
      <w:r w:rsidRPr="00661E0F">
        <w:rPr>
          <w:rFonts w:ascii="Arial" w:hAnsi="Arial" w:cs="Arial"/>
          <w:color w:val="000000"/>
          <w:sz w:val="24"/>
          <w:szCs w:val="24"/>
        </w:rPr>
        <w:t>7. Defendant is barred from the relief sought in the Amended Counterclaim because the sham note and mortgage referred to in the Amended wrongful</w:t>
      </w:r>
      <w:r w:rsidR="006832C2">
        <w:rPr>
          <w:rFonts w:ascii="Arial" w:hAnsi="Arial" w:cs="Arial"/>
          <w:color w:val="000000"/>
          <w:sz w:val="24"/>
          <w:szCs w:val="24"/>
        </w:rPr>
        <w:t xml:space="preserve"> </w:t>
      </w:r>
      <w:r w:rsidRPr="00661E0F">
        <w:rPr>
          <w:rFonts w:ascii="Arial" w:hAnsi="Arial" w:cs="Arial"/>
          <w:color w:val="000000"/>
          <w:sz w:val="24"/>
          <w:szCs w:val="24"/>
        </w:rPr>
        <w:t xml:space="preserve">Counterclaim are </w:t>
      </w:r>
      <w:r w:rsidRPr="00661E0F">
        <w:rPr>
          <w:rFonts w:ascii="Arial" w:hAnsi="Arial" w:cs="Arial"/>
          <w:i/>
          <w:iCs/>
          <w:color w:val="000000"/>
          <w:sz w:val="24"/>
          <w:szCs w:val="24"/>
        </w:rPr>
        <w:t>unenforceable because the sham note and mortgage were procured as part of and in furtherance of a fraudulent criminal conspiracy in which Defendant was an active participant</w:t>
      </w:r>
      <w:r w:rsidRPr="00661E0F">
        <w:rPr>
          <w:rFonts w:ascii="Arial" w:hAnsi="Arial" w:cs="Arial"/>
          <w:color w:val="000000"/>
          <w:sz w:val="24"/>
          <w:szCs w:val="24"/>
        </w:rPr>
        <w:t>. (Emphasis added.)</w:t>
      </w:r>
    </w:p>
    <w:p w14:paraId="11476369" w14:textId="77777777" w:rsidR="000031AC" w:rsidRPr="00C717D2" w:rsidRDefault="000031AC" w:rsidP="000031AC">
      <w:pPr>
        <w:pStyle w:val="FootnoteText"/>
        <w:ind w:left="720" w:right="720"/>
        <w:jc w:val="both"/>
        <w:outlineLvl w:val="0"/>
        <w:rPr>
          <w:rFonts w:ascii="Arial" w:hAnsi="Arial" w:cs="Arial"/>
          <w:color w:val="000000"/>
          <w:sz w:val="8"/>
          <w:szCs w:val="8"/>
        </w:rPr>
      </w:pPr>
    </w:p>
    <w:p w14:paraId="7ABD68F1" w14:textId="79670868" w:rsidR="000031AC" w:rsidRPr="00C717D2" w:rsidRDefault="000031AC" w:rsidP="000031AC">
      <w:pPr>
        <w:jc w:val="both"/>
        <w:outlineLvl w:val="0"/>
        <w:rPr>
          <w:rFonts w:cs="Arial"/>
          <w:color w:val="000000"/>
        </w:rPr>
      </w:pPr>
      <w:r w:rsidRPr="00C717D2">
        <w:rPr>
          <w:rFonts w:cs="Arial"/>
          <w:color w:val="000000"/>
        </w:rPr>
        <w:t>Nor is there an</w:t>
      </w:r>
      <w:r>
        <w:rPr>
          <w:rFonts w:cs="Arial"/>
          <w:color w:val="000000"/>
        </w:rPr>
        <w:t>y</w:t>
      </w:r>
      <w:r w:rsidRPr="00C717D2">
        <w:rPr>
          <w:rFonts w:cs="Arial"/>
          <w:color w:val="000000"/>
        </w:rPr>
        <w:t xml:space="preserve"> question of the statute of limitations somehow barring such an affirmative defense</w:t>
      </w:r>
      <w:r>
        <w:rPr>
          <w:rFonts w:cs="Arial"/>
          <w:color w:val="000000"/>
        </w:rPr>
        <w:t xml:space="preserve">—thus limiting the period </w:t>
      </w:r>
      <w:r w:rsidR="002938D9">
        <w:rPr>
          <w:rFonts w:cs="Arial"/>
          <w:color w:val="000000"/>
        </w:rPr>
        <w:t>subject</w:t>
      </w:r>
      <w:r>
        <w:rPr>
          <w:rFonts w:cs="Arial"/>
          <w:color w:val="000000"/>
        </w:rPr>
        <w:t xml:space="preserve"> to discovery</w:t>
      </w:r>
      <w:r w:rsidRPr="00C717D2">
        <w:rPr>
          <w:rFonts w:cs="Arial"/>
          <w:color w:val="000000"/>
        </w:rPr>
        <w:t>, as affirmative defenses are not subject to statutes of limitations</w:t>
      </w:r>
      <w:r>
        <w:rPr>
          <w:rFonts w:cs="Arial"/>
          <w:color w:val="000000"/>
        </w:rPr>
        <w:t xml:space="preserve">. </w:t>
      </w:r>
      <w:r w:rsidRPr="00C717D2">
        <w:rPr>
          <w:rFonts w:cs="Arial"/>
          <w:i/>
          <w:iCs/>
          <w:bdr w:val="none" w:sz="0" w:space="0" w:color="auto" w:frame="1"/>
        </w:rPr>
        <w:t>Responsible Person of Musicland Holding Corp. v. Best Buy Co. (In re Musicland Holding Corp.),</w:t>
      </w:r>
      <w:r w:rsidRPr="00C717D2">
        <w:rPr>
          <w:rFonts w:cs="Arial"/>
          <w:bdr w:val="none" w:sz="0" w:space="0" w:color="auto" w:frame="1"/>
        </w:rPr>
        <w:t xml:space="preserve"> Nos. 06-10064 (SMB), 08-1023, 2010 Bankr. LEXIS 3194, at *10 (Bankr. S.D.N.Y. Sep. 16, 2010)</w:t>
      </w:r>
      <w:r w:rsidRPr="00C717D2">
        <w:rPr>
          <w:rFonts w:cs="Arial"/>
        </w:rPr>
        <w:t xml:space="preserve"> </w:t>
      </w:r>
      <w:r w:rsidRPr="00C717D2">
        <w:rPr>
          <w:rFonts w:cs="Arial"/>
          <w:i/>
          <w:iCs/>
        </w:rPr>
        <w:t>see also</w:t>
      </w:r>
      <w:r w:rsidRPr="00C717D2">
        <w:rPr>
          <w:rFonts w:cs="Arial"/>
        </w:rPr>
        <w:t xml:space="preserve"> </w:t>
      </w:r>
      <w:r w:rsidRPr="00C717D2">
        <w:rPr>
          <w:rFonts w:cs="Arial"/>
          <w:i/>
          <w:iCs/>
          <w:bdr w:val="none" w:sz="0" w:space="0" w:color="auto" w:frame="1"/>
        </w:rPr>
        <w:t>Federated Life Ins. Co. v. Walker</w:t>
      </w:r>
      <w:r w:rsidRPr="00C717D2">
        <w:rPr>
          <w:rFonts w:cs="Arial"/>
          <w:bdr w:val="none" w:sz="0" w:space="0" w:color="auto" w:frame="1"/>
        </w:rPr>
        <w:t>, CIVIL ACTION NO. 96-3387, 1997 U.S. Dist. LEXIS 566, at *30 n.7 (E.D. Pa. Jan. 17, 1997)</w:t>
      </w:r>
      <w:r w:rsidRPr="00C717D2">
        <w:rPr>
          <w:rFonts w:cs="Arial"/>
        </w:rPr>
        <w:t>(“</w:t>
      </w:r>
      <w:r w:rsidRPr="00EF1661">
        <w:rPr>
          <w:rFonts w:cs="Arial"/>
          <w:color w:val="000000"/>
          <w:bdr w:val="none" w:sz="0" w:space="0" w:color="auto" w:frame="1"/>
        </w:rPr>
        <w:t xml:space="preserve">affirmative defenses are not barred because affirmative defenses are not subject to any statute of limitations, </w:t>
      </w:r>
      <w:r w:rsidRPr="002938D9">
        <w:rPr>
          <w:rFonts w:cs="Arial"/>
          <w:i/>
          <w:iCs/>
          <w:color w:val="000000"/>
          <w:u w:val="single"/>
          <w:bdr w:val="none" w:sz="0" w:space="0" w:color="auto" w:frame="1"/>
        </w:rPr>
        <w:t>even if they are based on the same facts and theories as a time-barred counterclaim</w:t>
      </w:r>
      <w:r w:rsidRPr="00EF1661">
        <w:rPr>
          <w:rFonts w:cs="Arial"/>
          <w:i/>
          <w:iCs/>
          <w:color w:val="000000"/>
          <w:bdr w:val="none" w:sz="0" w:space="0" w:color="auto" w:frame="1"/>
        </w:rPr>
        <w:t>.</w:t>
      </w:r>
      <w:r w:rsidRPr="009A6549">
        <w:rPr>
          <w:rFonts w:cs="Arial"/>
          <w:i/>
          <w:iCs/>
          <w:color w:val="000000"/>
          <w:bdr w:val="none" w:sz="0" w:space="0" w:color="auto" w:frame="1"/>
        </w:rPr>
        <w:t>)</w:t>
      </w:r>
      <w:r>
        <w:rPr>
          <w:rFonts w:cs="Arial"/>
          <w:color w:val="000000"/>
          <w:bdr w:val="none" w:sz="0" w:space="0" w:color="auto" w:frame="1"/>
        </w:rPr>
        <w:t>(emphasis added),</w:t>
      </w:r>
      <w:r w:rsidRPr="00C717D2">
        <w:rPr>
          <w:rFonts w:cs="Arial"/>
          <w:i/>
          <w:iCs/>
          <w:color w:val="000000"/>
          <w:bdr w:val="none" w:sz="0" w:space="0" w:color="auto" w:frame="1"/>
        </w:rPr>
        <w:t xml:space="preserve"> see also </w:t>
      </w:r>
      <w:r w:rsidRPr="00C717D2">
        <w:rPr>
          <w:rFonts w:cs="Arial"/>
          <w:i/>
          <w:iCs/>
          <w:bdr w:val="none" w:sz="0" w:space="0" w:color="auto" w:frame="1"/>
        </w:rPr>
        <w:t>Sun Life Assurance Co. of Canada v. U.S. Bank Nat'l Ass'n,</w:t>
      </w:r>
      <w:r w:rsidRPr="00C717D2">
        <w:rPr>
          <w:rFonts w:cs="Arial"/>
          <w:bdr w:val="none" w:sz="0" w:space="0" w:color="auto" w:frame="1"/>
        </w:rPr>
        <w:t xml:space="preserve"> No. 14-CIV-62610-B</w:t>
      </w:r>
      <w:r w:rsidR="002938D9">
        <w:rPr>
          <w:rFonts w:cs="Arial"/>
          <w:bdr w:val="none" w:sz="0" w:space="0" w:color="auto" w:frame="1"/>
        </w:rPr>
        <w:t>loom</w:t>
      </w:r>
      <w:r w:rsidRPr="00C717D2">
        <w:rPr>
          <w:rFonts w:cs="Arial"/>
          <w:bdr w:val="none" w:sz="0" w:space="0" w:color="auto" w:frame="1"/>
        </w:rPr>
        <w:t>/V</w:t>
      </w:r>
      <w:r w:rsidR="002938D9">
        <w:rPr>
          <w:rFonts w:cs="Arial"/>
          <w:bdr w:val="none" w:sz="0" w:space="0" w:color="auto" w:frame="1"/>
        </w:rPr>
        <w:t>alle</w:t>
      </w:r>
      <w:r w:rsidRPr="00C717D2">
        <w:rPr>
          <w:rFonts w:cs="Arial"/>
          <w:bdr w:val="none" w:sz="0" w:space="0" w:color="auto" w:frame="1"/>
        </w:rPr>
        <w:t>, 2016 U.S. Dist. LEXIS 4732, at *67 (S.D. Fla. Jan. 13, 2016)</w:t>
      </w:r>
      <w:r w:rsidRPr="00C717D2">
        <w:rPr>
          <w:rFonts w:cs="Arial"/>
        </w:rPr>
        <w:t>(“</w:t>
      </w:r>
      <w:r w:rsidRPr="00C717D2">
        <w:rPr>
          <w:rFonts w:cs="Arial"/>
          <w:color w:val="000000"/>
        </w:rPr>
        <w:t>A district court should not grant summary judgment where genuine issues of material fact exist about an affirmative defense." </w:t>
      </w:r>
      <w:r w:rsidRPr="00C717D2">
        <w:rPr>
          <w:rStyle w:val="ssit"/>
          <w:rFonts w:cs="Arial"/>
          <w:i/>
          <w:iCs/>
          <w:color w:val="000000"/>
          <w:bdr w:val="none" w:sz="0" w:space="0" w:color="auto" w:frame="1"/>
        </w:rPr>
        <w:t>Bryant v. Rich</w:t>
      </w:r>
      <w:r w:rsidRPr="00C717D2">
        <w:rPr>
          <w:rFonts w:cs="Arial"/>
          <w:color w:val="000000"/>
        </w:rPr>
        <w:t>, 530 F.3d 1368, 1380 (11th Cir. 2008) (</w:t>
      </w:r>
      <w:r w:rsidRPr="002938D9">
        <w:rPr>
          <w:rFonts w:cs="Arial"/>
          <w:i/>
          <w:iCs/>
          <w:color w:val="000000"/>
        </w:rPr>
        <w:t xml:space="preserve">citing </w:t>
      </w:r>
      <w:r w:rsidRPr="00C717D2">
        <w:rPr>
          <w:rFonts w:cs="Arial"/>
          <w:color w:val="000000"/>
        </w:rPr>
        <w:t>Fed. R. Civ. P. 56(c)) (further citations omitted); </w:t>
      </w:r>
      <w:r w:rsidRPr="00C717D2">
        <w:rPr>
          <w:rStyle w:val="ssit"/>
          <w:rFonts w:cs="Arial"/>
          <w:i/>
          <w:iCs/>
          <w:color w:val="000000"/>
          <w:bdr w:val="none" w:sz="0" w:space="0" w:color="auto" w:frame="1"/>
        </w:rPr>
        <w:t>Singleton v. Dep't of Corr.</w:t>
      </w:r>
      <w:r w:rsidRPr="00C717D2">
        <w:rPr>
          <w:rFonts w:cs="Arial"/>
          <w:color w:val="000000"/>
        </w:rPr>
        <w:t>, 277 F. App'x 921, 923 (11th Cir. 2008) ("Summary judgment is not appropriate where a genuine issue of material fact exists about an affirmative defense.")</w:t>
      </w:r>
    </w:p>
    <w:p w14:paraId="4F6FCF6D" w14:textId="77777777" w:rsidR="000031AC" w:rsidRPr="00C717D2" w:rsidRDefault="000031AC" w:rsidP="000031AC">
      <w:pPr>
        <w:pStyle w:val="FootnoteText"/>
        <w:ind w:left="720" w:right="720"/>
        <w:jc w:val="both"/>
        <w:outlineLvl w:val="0"/>
        <w:rPr>
          <w:rFonts w:ascii="Arial" w:hAnsi="Arial" w:cs="Arial"/>
          <w:sz w:val="8"/>
          <w:szCs w:val="8"/>
        </w:rPr>
      </w:pPr>
    </w:p>
  </w:footnote>
  <w:footnote w:id="11">
    <w:p w14:paraId="0F755567" w14:textId="77777777" w:rsidR="000031AC" w:rsidRPr="00661E0F" w:rsidRDefault="000031AC" w:rsidP="000031AC">
      <w:pPr>
        <w:pStyle w:val="FootnoteText"/>
        <w:jc w:val="both"/>
        <w:outlineLvl w:val="0"/>
        <w:rPr>
          <w:rFonts w:ascii="Arial" w:hAnsi="Arial" w:cs="Arial"/>
          <w:sz w:val="24"/>
          <w:szCs w:val="24"/>
        </w:rPr>
      </w:pPr>
      <w:r w:rsidRPr="00661E0F">
        <w:rPr>
          <w:rStyle w:val="FootnoteReference"/>
          <w:rFonts w:ascii="Arial" w:hAnsi="Arial" w:cs="Arial"/>
          <w:sz w:val="24"/>
          <w:szCs w:val="24"/>
        </w:rPr>
        <w:footnoteRef/>
      </w:r>
      <w:r w:rsidRPr="00661E0F">
        <w:rPr>
          <w:rFonts w:ascii="Arial" w:hAnsi="Arial" w:cs="Arial"/>
          <w:sz w:val="24"/>
          <w:szCs w:val="24"/>
        </w:rPr>
        <w:t xml:space="preserve"> Applying the doctrine in a RICO se</w:t>
      </w:r>
      <w:r>
        <w:rPr>
          <w:rFonts w:ascii="Arial" w:hAnsi="Arial" w:cs="Arial"/>
          <w:sz w:val="24"/>
          <w:szCs w:val="24"/>
        </w:rPr>
        <w:t>t</w:t>
      </w:r>
      <w:r w:rsidRPr="00661E0F">
        <w:rPr>
          <w:rFonts w:ascii="Arial" w:hAnsi="Arial" w:cs="Arial"/>
          <w:sz w:val="24"/>
          <w:szCs w:val="24"/>
        </w:rPr>
        <w:t xml:space="preserve">ting, the court in </w:t>
      </w:r>
      <w:r w:rsidRPr="00076BF2">
        <w:rPr>
          <w:rFonts w:ascii="Arial" w:hAnsi="Arial" w:cs="Arial"/>
          <w:i/>
          <w:iCs/>
          <w:sz w:val="24"/>
          <w:szCs w:val="24"/>
          <w:bdr w:val="none" w:sz="0" w:space="0" w:color="auto" w:frame="1"/>
        </w:rPr>
        <w:t>Bergeron v. Perrilloux</w:t>
      </w:r>
      <w:r w:rsidRPr="00661E0F">
        <w:rPr>
          <w:rFonts w:ascii="Arial" w:hAnsi="Arial" w:cs="Arial"/>
          <w:sz w:val="24"/>
          <w:szCs w:val="24"/>
          <w:bdr w:val="none" w:sz="0" w:space="0" w:color="auto" w:frame="1"/>
        </w:rPr>
        <w:t>, No. 08-4380, 2009 U.S. Dist. LEXIS 68926, at *9 (E.D. La. Aug. 6, 2009) noted:</w:t>
      </w:r>
    </w:p>
    <w:p w14:paraId="235A0ADD" w14:textId="77777777" w:rsidR="000031AC" w:rsidRPr="00076BF2" w:rsidRDefault="000031AC" w:rsidP="000031AC">
      <w:pPr>
        <w:pStyle w:val="FootnoteText"/>
        <w:jc w:val="both"/>
        <w:outlineLvl w:val="0"/>
        <w:rPr>
          <w:rFonts w:ascii="Arial" w:hAnsi="Arial" w:cs="Arial"/>
          <w:sz w:val="8"/>
          <w:szCs w:val="8"/>
        </w:rPr>
      </w:pPr>
    </w:p>
    <w:p w14:paraId="505F8DD6" w14:textId="77D5A3C2" w:rsidR="000031AC" w:rsidRDefault="000031AC" w:rsidP="000031AC">
      <w:pPr>
        <w:pStyle w:val="FootnoteText"/>
        <w:ind w:left="720" w:right="720"/>
        <w:jc w:val="both"/>
        <w:outlineLvl w:val="0"/>
        <w:rPr>
          <w:rStyle w:val="ssrfcsection"/>
          <w:rFonts w:ascii="Arial" w:hAnsi="Arial" w:cs="Arial"/>
          <w:color w:val="000000"/>
          <w:sz w:val="24"/>
          <w:szCs w:val="24"/>
          <w:bdr w:val="none" w:sz="0" w:space="0" w:color="auto" w:frame="1"/>
        </w:rPr>
      </w:pPr>
      <w:r w:rsidRPr="00661E0F">
        <w:rPr>
          <w:rStyle w:val="ssrfcpassagedeactivated"/>
          <w:rFonts w:ascii="Arial" w:hAnsi="Arial" w:cs="Arial"/>
          <w:color w:val="000000"/>
          <w:sz w:val="24"/>
          <w:szCs w:val="24"/>
          <w:bdr w:val="none" w:sz="0" w:space="0" w:color="auto" w:frame="1"/>
        </w:rPr>
        <w:t>Plaintiffs actively participated in the wrongdoing they now ask a remedy from; plaintiffs are </w:t>
      </w:r>
      <w:r w:rsidRPr="00661E0F">
        <w:rPr>
          <w:rStyle w:val="sssh"/>
          <w:rFonts w:ascii="Arial" w:hAnsi="Arial" w:cs="Arial"/>
          <w:color w:val="000000"/>
          <w:sz w:val="24"/>
          <w:szCs w:val="24"/>
          <w:bdr w:val="none" w:sz="0" w:space="0" w:color="auto" w:frame="1"/>
        </w:rPr>
        <w:t>co-conspirators</w:t>
      </w:r>
      <w:r w:rsidRPr="00661E0F">
        <w:rPr>
          <w:rStyle w:val="ssrfcpassagedeactivated"/>
          <w:rFonts w:ascii="Arial" w:hAnsi="Arial" w:cs="Arial"/>
          <w:color w:val="000000"/>
          <w:sz w:val="24"/>
          <w:szCs w:val="24"/>
          <w:bdr w:val="none" w:sz="0" w:space="0" w:color="auto" w:frame="1"/>
        </w:rPr>
        <w:t>. </w:t>
      </w:r>
      <w:r w:rsidRPr="00661E0F">
        <w:rPr>
          <w:rStyle w:val="ssrfcsection"/>
          <w:rFonts w:ascii="Arial" w:hAnsi="Arial" w:cs="Arial"/>
          <w:color w:val="000000"/>
          <w:sz w:val="24"/>
          <w:szCs w:val="24"/>
          <w:bdr w:val="none" w:sz="0" w:space="0" w:color="auto" w:frame="1"/>
        </w:rPr>
        <w:t>With</w:t>
      </w:r>
      <w:r w:rsidR="006832C2">
        <w:rPr>
          <w:rStyle w:val="ssrfcsection"/>
          <w:rFonts w:ascii="Arial" w:hAnsi="Arial" w:cs="Arial"/>
          <w:color w:val="000000"/>
          <w:sz w:val="24"/>
          <w:szCs w:val="24"/>
          <w:bdr w:val="none" w:sz="0" w:space="0" w:color="auto" w:frame="1"/>
        </w:rPr>
        <w:t xml:space="preserve"> </w:t>
      </w:r>
      <w:r w:rsidRPr="00661E0F">
        <w:rPr>
          <w:rStyle w:val="ssrfcsection"/>
          <w:rFonts w:ascii="Arial" w:hAnsi="Arial" w:cs="Arial"/>
          <w:color w:val="000000"/>
          <w:sz w:val="24"/>
          <w:szCs w:val="24"/>
          <w:bdr w:val="none" w:sz="0" w:space="0" w:color="auto" w:frame="1"/>
        </w:rPr>
        <w:t>regard to the policy goals of RICO, precluded use of </w:t>
      </w:r>
      <w:r w:rsidRPr="00661E0F">
        <w:rPr>
          <w:rStyle w:val="sssh"/>
          <w:rFonts w:ascii="Arial" w:hAnsi="Arial" w:cs="Arial"/>
          <w:i/>
          <w:iCs/>
          <w:color w:val="000000"/>
          <w:sz w:val="24"/>
          <w:szCs w:val="24"/>
          <w:bdr w:val="none" w:sz="0" w:space="0" w:color="auto" w:frame="1"/>
        </w:rPr>
        <w:t>in pari delicto</w:t>
      </w:r>
      <w:r w:rsidRPr="00661E0F">
        <w:rPr>
          <w:rStyle w:val="ssrfcsection"/>
          <w:rFonts w:ascii="Arial" w:hAnsi="Arial" w:cs="Arial"/>
          <w:color w:val="000000"/>
          <w:sz w:val="24"/>
          <w:szCs w:val="24"/>
          <w:bdr w:val="none" w:sz="0" w:space="0" w:color="auto" w:frame="1"/>
        </w:rPr>
        <w:t xml:space="preserve"> in this case would do a disservice to the goals of RICO. </w:t>
      </w:r>
      <w:r w:rsidRPr="00661E0F">
        <w:rPr>
          <w:rStyle w:val="ssrfcsection"/>
          <w:rFonts w:ascii="Arial" w:hAnsi="Arial" w:cs="Arial"/>
          <w:i/>
          <w:iCs/>
          <w:color w:val="000000"/>
          <w:sz w:val="24"/>
          <w:szCs w:val="24"/>
          <w:bdr w:val="none" w:sz="0" w:space="0" w:color="auto" w:frame="1"/>
        </w:rPr>
        <w:t>Even a minor aged 17 can be held accountable for their illegal activity</w:t>
      </w:r>
      <w:r w:rsidRPr="00661E0F">
        <w:rPr>
          <w:rStyle w:val="ssrfcsection"/>
          <w:rFonts w:ascii="Arial" w:hAnsi="Arial" w:cs="Arial"/>
          <w:color w:val="000000"/>
          <w:sz w:val="24"/>
          <w:szCs w:val="24"/>
          <w:bdr w:val="none" w:sz="0" w:space="0" w:color="auto" w:frame="1"/>
        </w:rPr>
        <w:t>, including conspiring to commit a federal offense. See </w:t>
      </w:r>
      <w:r w:rsidRPr="00661E0F">
        <w:rPr>
          <w:rStyle w:val="ssit"/>
          <w:rFonts w:ascii="Arial" w:hAnsi="Arial" w:cs="Arial"/>
          <w:i/>
          <w:iCs/>
          <w:color w:val="000000"/>
          <w:sz w:val="24"/>
          <w:szCs w:val="24"/>
          <w:bdr w:val="none" w:sz="0" w:space="0" w:color="auto" w:frame="1"/>
        </w:rPr>
        <w:t>United States v. DeLeon</w:t>
      </w:r>
      <w:r w:rsidRPr="00661E0F">
        <w:rPr>
          <w:rStyle w:val="ssrfcsection"/>
          <w:rFonts w:ascii="Arial" w:hAnsi="Arial" w:cs="Arial"/>
          <w:color w:val="000000"/>
          <w:sz w:val="24"/>
          <w:szCs w:val="24"/>
          <w:bdr w:val="none" w:sz="0" w:space="0" w:color="auto" w:frame="1"/>
        </w:rPr>
        <w:t>, 768 F.2d 629 (5th Cir. 1985). (Emphasis added.)</w:t>
      </w:r>
    </w:p>
    <w:p w14:paraId="7CD12481" w14:textId="77777777" w:rsidR="000031AC" w:rsidRPr="00076BF2" w:rsidRDefault="000031AC" w:rsidP="000031AC">
      <w:pPr>
        <w:pStyle w:val="FootnoteText"/>
        <w:ind w:left="720" w:right="720"/>
        <w:jc w:val="both"/>
        <w:outlineLvl w:val="0"/>
        <w:rPr>
          <w:rFonts w:ascii="Arial" w:hAnsi="Arial" w:cs="Arial"/>
          <w:sz w:val="12"/>
          <w:szCs w:val="12"/>
        </w:rPr>
      </w:pPr>
    </w:p>
  </w:footnote>
  <w:footnote w:id="12">
    <w:p w14:paraId="7E7259ED" w14:textId="71F82269" w:rsidR="000031AC" w:rsidRPr="00661E0F" w:rsidRDefault="000031AC" w:rsidP="000031AC">
      <w:pPr>
        <w:pStyle w:val="FootnoteText"/>
        <w:jc w:val="both"/>
        <w:outlineLvl w:val="0"/>
        <w:rPr>
          <w:rStyle w:val="ssrfcpassagedeactivated"/>
          <w:rFonts w:ascii="Arial" w:hAnsi="Arial" w:cs="Arial"/>
          <w:color w:val="000000"/>
          <w:sz w:val="24"/>
          <w:szCs w:val="24"/>
          <w:bdr w:val="none" w:sz="0" w:space="0" w:color="auto" w:frame="1"/>
        </w:rPr>
      </w:pPr>
      <w:r w:rsidRPr="00661E0F">
        <w:rPr>
          <w:rStyle w:val="FootnoteReference"/>
          <w:rFonts w:ascii="Arial" w:hAnsi="Arial" w:cs="Arial"/>
          <w:sz w:val="24"/>
          <w:szCs w:val="24"/>
        </w:rPr>
        <w:footnoteRef/>
      </w:r>
      <w:r w:rsidRPr="00661E0F">
        <w:rPr>
          <w:rFonts w:ascii="Arial" w:hAnsi="Arial" w:cs="Arial"/>
          <w:sz w:val="24"/>
          <w:szCs w:val="24"/>
        </w:rPr>
        <w:t xml:space="preserve"> In </w:t>
      </w:r>
      <w:r w:rsidRPr="00661E0F">
        <w:rPr>
          <w:rFonts w:ascii="Arial" w:hAnsi="Arial" w:cs="Arial"/>
          <w:i/>
          <w:iCs/>
          <w:sz w:val="24"/>
          <w:szCs w:val="24"/>
          <w:bdr w:val="none" w:sz="0" w:space="0" w:color="auto" w:frame="1"/>
        </w:rPr>
        <w:t>Willie v. Amerada Hess Corp</w:t>
      </w:r>
      <w:r w:rsidRPr="00661E0F">
        <w:rPr>
          <w:rFonts w:ascii="Arial" w:hAnsi="Arial" w:cs="Arial"/>
          <w:sz w:val="24"/>
          <w:szCs w:val="24"/>
          <w:bdr w:val="none" w:sz="0" w:space="0" w:color="auto" w:frame="1"/>
        </w:rPr>
        <w:t>., 66 V.I. 23, 45 (Super. Ct. 2017), t</w:t>
      </w:r>
      <w:r w:rsidRPr="00661E0F">
        <w:rPr>
          <w:rFonts w:ascii="Arial" w:hAnsi="Arial" w:cs="Arial"/>
          <w:sz w:val="24"/>
          <w:szCs w:val="24"/>
        </w:rPr>
        <w:t xml:space="preserve">he Superior Court </w:t>
      </w:r>
      <w:r w:rsidR="00F72A05">
        <w:rPr>
          <w:rFonts w:ascii="Arial" w:hAnsi="Arial" w:cs="Arial"/>
          <w:sz w:val="24"/>
          <w:szCs w:val="24"/>
        </w:rPr>
        <w:t>here acknowledged</w:t>
      </w:r>
      <w:r w:rsidRPr="00661E0F">
        <w:rPr>
          <w:rFonts w:ascii="Arial" w:hAnsi="Arial" w:cs="Arial"/>
          <w:sz w:val="24"/>
          <w:szCs w:val="24"/>
        </w:rPr>
        <w:t xml:space="preserve"> the doctrine of </w:t>
      </w:r>
      <w:r w:rsidRPr="00661E0F">
        <w:rPr>
          <w:rStyle w:val="ssrfcsection"/>
          <w:rFonts w:ascii="Arial" w:hAnsi="Arial" w:cs="Arial"/>
          <w:color w:val="000000"/>
          <w:sz w:val="24"/>
          <w:szCs w:val="24"/>
          <w:bdr w:val="none" w:sz="0" w:space="0" w:color="auto" w:frame="1"/>
        </w:rPr>
        <w:t>‘</w:t>
      </w:r>
      <w:r w:rsidRPr="00661E0F">
        <w:rPr>
          <w:rStyle w:val="sssh"/>
          <w:rFonts w:ascii="Arial" w:hAnsi="Arial" w:cs="Arial"/>
          <w:i/>
          <w:iCs/>
          <w:color w:val="000000"/>
          <w:sz w:val="24"/>
          <w:szCs w:val="24"/>
          <w:bdr w:val="none" w:sz="0" w:space="0" w:color="auto" w:frame="1"/>
        </w:rPr>
        <w:t>in pari delicto</w:t>
      </w:r>
      <w:r w:rsidRPr="00661E0F">
        <w:rPr>
          <w:rStyle w:val="ssit"/>
          <w:rFonts w:ascii="Arial" w:hAnsi="Arial" w:cs="Arial"/>
          <w:i/>
          <w:iCs/>
          <w:color w:val="000000"/>
          <w:sz w:val="24"/>
          <w:szCs w:val="24"/>
          <w:bdr w:val="none" w:sz="0" w:space="0" w:color="auto" w:frame="1"/>
        </w:rPr>
        <w:t> potior est conditio defendentis</w:t>
      </w:r>
      <w:r w:rsidRPr="00661E0F">
        <w:rPr>
          <w:rStyle w:val="ssrfcsection"/>
          <w:rFonts w:ascii="Arial" w:hAnsi="Arial" w:cs="Arial"/>
          <w:color w:val="000000"/>
          <w:sz w:val="24"/>
          <w:szCs w:val="24"/>
          <w:bdr w:val="none" w:sz="0" w:space="0" w:color="auto" w:frame="1"/>
        </w:rPr>
        <w:t>.’ But that court also stated, under a “</w:t>
      </w:r>
      <w:r w:rsidRPr="00661E0F">
        <w:rPr>
          <w:rStyle w:val="ssit"/>
          <w:rFonts w:ascii="Arial" w:hAnsi="Arial" w:cs="Arial"/>
          <w:i/>
          <w:iCs/>
          <w:color w:val="000000"/>
          <w:sz w:val="24"/>
          <w:szCs w:val="24"/>
          <w:bdr w:val="none" w:sz="0" w:space="0" w:color="auto" w:frame="1"/>
        </w:rPr>
        <w:t xml:space="preserve">But see” </w:t>
      </w:r>
      <w:r w:rsidRPr="00661E0F">
        <w:rPr>
          <w:rStyle w:val="ssit"/>
          <w:rFonts w:ascii="Arial" w:hAnsi="Arial" w:cs="Arial"/>
          <w:color w:val="000000"/>
          <w:sz w:val="24"/>
          <w:szCs w:val="24"/>
          <w:bdr w:val="none" w:sz="0" w:space="0" w:color="auto" w:frame="1"/>
        </w:rPr>
        <w:t>signal</w:t>
      </w:r>
      <w:r w:rsidRPr="00F72A05">
        <w:rPr>
          <w:rStyle w:val="ssit"/>
          <w:rFonts w:ascii="Arial" w:hAnsi="Arial" w:cs="Arial"/>
          <w:color w:val="000000"/>
          <w:sz w:val="24"/>
          <w:szCs w:val="24"/>
          <w:bdr w:val="none" w:sz="0" w:space="0" w:color="auto" w:frame="1"/>
        </w:rPr>
        <w:t>, </w:t>
      </w:r>
      <w:r w:rsidR="00F72A05" w:rsidRPr="00F72A05">
        <w:rPr>
          <w:rStyle w:val="ssit"/>
          <w:rFonts w:ascii="Arial" w:hAnsi="Arial" w:cs="Arial"/>
          <w:color w:val="000000"/>
          <w:sz w:val="24"/>
          <w:szCs w:val="24"/>
          <w:bdr w:val="none" w:sz="0" w:space="0" w:color="auto" w:frame="1"/>
        </w:rPr>
        <w:t xml:space="preserve">a </w:t>
      </w:r>
      <w:r w:rsidR="00F72A05">
        <w:rPr>
          <w:rStyle w:val="ssit"/>
          <w:rFonts w:ascii="Arial" w:hAnsi="Arial" w:cs="Arial"/>
          <w:color w:val="000000"/>
          <w:sz w:val="24"/>
          <w:szCs w:val="24"/>
          <w:bdr w:val="none" w:sz="0" w:space="0" w:color="auto" w:frame="1"/>
        </w:rPr>
        <w:t>seemingly contrary holding</w:t>
      </w:r>
      <w:r w:rsidR="00F72A05" w:rsidRPr="00F72A05">
        <w:rPr>
          <w:rStyle w:val="ssit"/>
          <w:rFonts w:ascii="Arial" w:hAnsi="Arial" w:cs="Arial"/>
          <w:color w:val="000000"/>
          <w:sz w:val="24"/>
          <w:szCs w:val="24"/>
          <w:bdr w:val="none" w:sz="0" w:space="0" w:color="auto" w:frame="1"/>
        </w:rPr>
        <w:t xml:space="preserve"> from Maine</w:t>
      </w:r>
      <w:r w:rsidR="00F72A05">
        <w:rPr>
          <w:rStyle w:val="ssit"/>
          <w:rFonts w:ascii="Arial" w:hAnsi="Arial" w:cs="Arial"/>
          <w:i/>
          <w:iCs/>
          <w:color w:val="000000"/>
          <w:sz w:val="24"/>
          <w:szCs w:val="24"/>
          <w:bdr w:val="none" w:sz="0" w:space="0" w:color="auto" w:frame="1"/>
        </w:rPr>
        <w:t xml:space="preserve">, </w:t>
      </w:r>
      <w:r w:rsidRPr="00661E0F">
        <w:rPr>
          <w:rStyle w:val="ssit"/>
          <w:rFonts w:ascii="Arial" w:hAnsi="Arial" w:cs="Arial"/>
          <w:i/>
          <w:iCs/>
          <w:color w:val="000000"/>
          <w:sz w:val="24"/>
          <w:szCs w:val="24"/>
          <w:bdr w:val="none" w:sz="0" w:space="0" w:color="auto" w:frame="1"/>
        </w:rPr>
        <w:t>Roberts v. Am. Chain &amp; Cable Co.</w:t>
      </w:r>
      <w:r w:rsidRPr="00661E0F">
        <w:rPr>
          <w:rStyle w:val="ssrfcpassagedeactivated"/>
          <w:rFonts w:ascii="Arial" w:hAnsi="Arial" w:cs="Arial"/>
          <w:color w:val="000000"/>
          <w:sz w:val="24"/>
          <w:szCs w:val="24"/>
          <w:bdr w:val="none" w:sz="0" w:space="0" w:color="auto" w:frame="1"/>
        </w:rPr>
        <w:t>, 259 A.2d 43, 50 (Me. 1969)</w:t>
      </w:r>
      <w:r w:rsidR="002938D9">
        <w:rPr>
          <w:rStyle w:val="ssrfcpassagedeactivated"/>
          <w:rFonts w:ascii="Arial" w:hAnsi="Arial" w:cs="Arial"/>
          <w:color w:val="000000"/>
          <w:sz w:val="24"/>
          <w:szCs w:val="24"/>
          <w:bdr w:val="none" w:sz="0" w:space="0" w:color="auto" w:frame="1"/>
        </w:rPr>
        <w:t>.</w:t>
      </w:r>
      <w:r w:rsidRPr="00661E0F">
        <w:rPr>
          <w:rStyle w:val="ssrfcpassagedeactivated"/>
          <w:rFonts w:ascii="Arial" w:hAnsi="Arial" w:cs="Arial"/>
          <w:color w:val="000000"/>
          <w:sz w:val="24"/>
          <w:szCs w:val="24"/>
          <w:bdr w:val="none" w:sz="0" w:space="0" w:color="auto" w:frame="1"/>
        </w:rPr>
        <w:t xml:space="preserve"> However, </w:t>
      </w:r>
      <w:r w:rsidRPr="00661E0F">
        <w:rPr>
          <w:rFonts w:ascii="Arial" w:hAnsi="Arial" w:cs="Arial"/>
          <w:sz w:val="24"/>
          <w:szCs w:val="24"/>
          <w:bdr w:val="none" w:sz="0" w:space="0" w:color="auto" w:frame="1"/>
        </w:rPr>
        <w:t xml:space="preserve">that Maine case does not stand for the proposition that Maine does not accept the defense. Rather, that case deals with the intersection of the doctrine and a specific state statute dealing with </w:t>
      </w:r>
      <w:r w:rsidR="003129DA" w:rsidRPr="00661E0F">
        <w:rPr>
          <w:rFonts w:ascii="Arial" w:hAnsi="Arial" w:cs="Arial"/>
          <w:sz w:val="24"/>
          <w:szCs w:val="24"/>
          <w:bdr w:val="none" w:sz="0" w:space="0" w:color="auto" w:frame="1"/>
        </w:rPr>
        <w:t>workers’ compensation</w:t>
      </w:r>
      <w:r w:rsidRPr="00661E0F">
        <w:rPr>
          <w:rFonts w:ascii="Arial" w:hAnsi="Arial" w:cs="Arial"/>
          <w:sz w:val="24"/>
          <w:szCs w:val="24"/>
          <w:bdr w:val="none" w:sz="0" w:space="0" w:color="auto" w:frame="1"/>
        </w:rPr>
        <w:t>. Such statutory collisions with the doctrine, also found in some joint tortfeasor and apportionment tort cases is not applicable here, as this is not a</w:t>
      </w:r>
      <w:r w:rsidR="00F72A05">
        <w:rPr>
          <w:rFonts w:ascii="Arial" w:hAnsi="Arial" w:cs="Arial"/>
          <w:sz w:val="24"/>
          <w:szCs w:val="24"/>
          <w:bdr w:val="none" w:sz="0" w:space="0" w:color="auto" w:frame="1"/>
        </w:rPr>
        <w:t xml:space="preserve">n administrative </w:t>
      </w:r>
      <w:r w:rsidRPr="00661E0F">
        <w:rPr>
          <w:rFonts w:ascii="Arial" w:hAnsi="Arial" w:cs="Arial"/>
          <w:sz w:val="24"/>
          <w:szCs w:val="24"/>
          <w:bdr w:val="none" w:sz="0" w:space="0" w:color="auto" w:frame="1"/>
        </w:rPr>
        <w:t>claimant or joint contribution situation.</w:t>
      </w:r>
    </w:p>
    <w:p w14:paraId="03F0DD0D" w14:textId="77777777" w:rsidR="000031AC" w:rsidRPr="00561A82" w:rsidRDefault="000031AC" w:rsidP="000031AC">
      <w:pPr>
        <w:pStyle w:val="FootnoteText"/>
        <w:ind w:left="720" w:right="720"/>
        <w:jc w:val="both"/>
        <w:outlineLvl w:val="0"/>
        <w:rPr>
          <w:rFonts w:ascii="Arial" w:hAnsi="Arial" w:cs="Arial"/>
          <w:sz w:val="8"/>
          <w:szCs w:val="8"/>
        </w:rPr>
      </w:pPr>
    </w:p>
  </w:footnote>
  <w:footnote w:id="13">
    <w:p w14:paraId="42418918" w14:textId="44F18C19" w:rsidR="002F2146" w:rsidRPr="002F2146" w:rsidRDefault="002F2146" w:rsidP="000162D0">
      <w:pPr>
        <w:pStyle w:val="FootnoteText"/>
        <w:jc w:val="both"/>
        <w:outlineLvl w:val="0"/>
        <w:rPr>
          <w:sz w:val="8"/>
          <w:szCs w:val="8"/>
        </w:rPr>
      </w:pPr>
      <w:r>
        <w:rPr>
          <w:rStyle w:val="FootnoteReference"/>
        </w:rPr>
        <w:footnoteRef/>
      </w:r>
      <w:r>
        <w:t xml:space="preserve"> </w:t>
      </w:r>
      <w:r w:rsidRPr="002F2146">
        <w:rPr>
          <w:rFonts w:ascii="Arial" w:hAnsi="Arial" w:cs="Arial"/>
          <w:sz w:val="24"/>
        </w:rPr>
        <w:t xml:space="preserve">Equally hoary precedent can be found </w:t>
      </w:r>
      <w:r>
        <w:rPr>
          <w:rFonts w:ascii="Arial" w:hAnsi="Arial" w:cs="Arial"/>
          <w:sz w:val="24"/>
        </w:rPr>
        <w:t>from</w:t>
      </w:r>
      <w:r w:rsidRPr="002F2146">
        <w:rPr>
          <w:rFonts w:ascii="Arial" w:hAnsi="Arial" w:cs="Arial"/>
          <w:sz w:val="24"/>
        </w:rPr>
        <w:t xml:space="preserve"> </w:t>
      </w:r>
      <w:r>
        <w:rPr>
          <w:rFonts w:ascii="Arial" w:hAnsi="Arial" w:cs="Arial"/>
          <w:sz w:val="24"/>
        </w:rPr>
        <w:t>Vermont</w:t>
      </w:r>
      <w:r w:rsidR="00B95972">
        <w:rPr>
          <w:rFonts w:ascii="Arial" w:hAnsi="Arial" w:cs="Arial"/>
          <w:sz w:val="24"/>
        </w:rPr>
        <w:t xml:space="preserve"> in 1914</w:t>
      </w:r>
      <w:r w:rsidRPr="002F2146">
        <w:rPr>
          <w:rFonts w:ascii="Arial" w:hAnsi="Arial" w:cs="Arial"/>
          <w:sz w:val="24"/>
        </w:rPr>
        <w:t xml:space="preserve">, where one party’s </w:t>
      </w:r>
      <w:r w:rsidRPr="002F2146">
        <w:rPr>
          <w:rFonts w:ascii="Arial" w:hAnsi="Arial" w:cs="Arial"/>
          <w:color w:val="000000"/>
          <w:sz w:val="24"/>
          <w:shd w:val="clear" w:color="auto" w:fill="FFFFFF"/>
        </w:rPr>
        <w:t>claim that the writing in question was a valid mortgage could not be sustained. The court held the alleged mortgage holder could not invoke the doctrine of estoppel</w:t>
      </w:r>
      <w:r>
        <w:rPr>
          <w:rFonts w:ascii="Arial" w:hAnsi="Arial" w:cs="Arial"/>
          <w:color w:val="000000"/>
          <w:sz w:val="24"/>
          <w:shd w:val="clear" w:color="auto" w:fill="FFFFFF"/>
        </w:rPr>
        <w:t xml:space="preserve">, </w:t>
      </w:r>
      <w:r w:rsidRPr="0056292C">
        <w:rPr>
          <w:rFonts w:ascii="Arial" w:hAnsi="Arial" w:cs="Arial"/>
          <w:i/>
          <w:iCs/>
          <w:color w:val="000000"/>
          <w:sz w:val="24"/>
          <w:shd w:val="clear" w:color="auto" w:fill="FFFFFF"/>
        </w:rPr>
        <w:t>having procured a </w:t>
      </w:r>
      <w:r w:rsidRPr="0056292C">
        <w:rPr>
          <w:rStyle w:val="sssh"/>
          <w:rFonts w:ascii="Arial" w:hAnsi="Arial" w:cs="Arial"/>
          <w:i/>
          <w:iCs/>
          <w:color w:val="000000"/>
          <w:sz w:val="24"/>
          <w:u w:val="single"/>
          <w:bdr w:val="none" w:sz="0" w:space="0" w:color="auto" w:frame="1"/>
        </w:rPr>
        <w:t>sham mortgage</w:t>
      </w:r>
      <w:r w:rsidRPr="0056292C">
        <w:rPr>
          <w:rFonts w:ascii="Arial" w:hAnsi="Arial" w:cs="Arial"/>
          <w:i/>
          <w:iCs/>
          <w:color w:val="000000"/>
          <w:sz w:val="24"/>
          <w:shd w:val="clear" w:color="auto" w:fill="FFFFFF"/>
        </w:rPr>
        <w:t>, with</w:t>
      </w:r>
      <w:r>
        <w:rPr>
          <w:rFonts w:ascii="Arial" w:hAnsi="Arial" w:cs="Arial"/>
          <w:color w:val="000000"/>
          <w:sz w:val="24"/>
          <w:shd w:val="clear" w:color="auto" w:fill="FFFFFF"/>
        </w:rPr>
        <w:t xml:space="preserve"> a </w:t>
      </w:r>
      <w:r w:rsidRPr="002F2146">
        <w:rPr>
          <w:rFonts w:ascii="Arial" w:hAnsi="Arial" w:cs="Arial"/>
          <w:i/>
          <w:iCs/>
          <w:color w:val="000000"/>
          <w:sz w:val="24"/>
          <w:shd w:val="clear" w:color="auto" w:fill="FFFFFF"/>
        </w:rPr>
        <w:t>guilty intention</w:t>
      </w:r>
      <w:r>
        <w:rPr>
          <w:rFonts w:ascii="Arial" w:hAnsi="Arial" w:cs="Arial"/>
          <w:i/>
          <w:iCs/>
          <w:color w:val="000000"/>
          <w:sz w:val="24"/>
          <w:shd w:val="clear" w:color="auto" w:fill="FFFFFF"/>
        </w:rPr>
        <w:t xml:space="preserve"> </w:t>
      </w:r>
      <w:r w:rsidRPr="002F2146">
        <w:rPr>
          <w:rFonts w:ascii="Arial" w:hAnsi="Arial" w:cs="Arial"/>
          <w:i/>
          <w:iCs/>
          <w:color w:val="000000"/>
          <w:sz w:val="24"/>
          <w:shd w:val="clear" w:color="auto" w:fill="FFFFFF"/>
        </w:rPr>
        <w:t>equal to, if not greater than that of the landowners</w:t>
      </w:r>
      <w:r w:rsidRPr="002F2146">
        <w:rPr>
          <w:rFonts w:ascii="Arial" w:hAnsi="Arial" w:cs="Arial"/>
          <w:color w:val="000000"/>
          <w:sz w:val="24"/>
          <w:shd w:val="clear" w:color="auto" w:fill="FFFFFF"/>
        </w:rPr>
        <w:t xml:space="preserve">. </w:t>
      </w:r>
      <w:r w:rsidRPr="002F2146">
        <w:rPr>
          <w:rFonts w:ascii="Arial" w:hAnsi="Arial" w:cs="Arial"/>
          <w:i/>
          <w:iCs/>
          <w:sz w:val="24"/>
          <w:bdr w:val="none" w:sz="0" w:space="0" w:color="auto" w:frame="1"/>
          <w:shd w:val="clear" w:color="auto" w:fill="FFFFFF"/>
        </w:rPr>
        <w:t>Vt. Accident Ins. Co. v. Fletcher</w:t>
      </w:r>
      <w:r w:rsidRPr="002F2146">
        <w:rPr>
          <w:rFonts w:ascii="Arial" w:hAnsi="Arial" w:cs="Arial"/>
          <w:sz w:val="24"/>
          <w:bdr w:val="none" w:sz="0" w:space="0" w:color="auto" w:frame="1"/>
          <w:shd w:val="clear" w:color="auto" w:fill="FFFFFF"/>
        </w:rPr>
        <w:t>, 87 Vt. 394, 395, 89 A. 480, 481 (1914)</w:t>
      </w:r>
      <w:r>
        <w:rPr>
          <w:rFonts w:ascii="Arial" w:hAnsi="Arial" w:cs="Arial"/>
          <w:sz w:val="24"/>
          <w:bdr w:val="none" w:sz="0" w:space="0" w:color="auto" w:frame="1"/>
          <w:shd w:val="clear" w:color="auto" w:fill="FFFFFF"/>
        </w:rPr>
        <w:t>.</w:t>
      </w:r>
      <w:r w:rsidR="000162D0">
        <w:rPr>
          <w:rFonts w:ascii="Arial" w:hAnsi="Arial" w:cs="Arial"/>
          <w:sz w:val="24"/>
          <w:bdr w:val="none" w:sz="0" w:space="0" w:color="auto" w:frame="1"/>
          <w:shd w:val="clear" w:color="auto" w:fill="FFFFFF"/>
        </w:rPr>
        <w:t xml:space="preserve"> </w:t>
      </w:r>
      <w:r w:rsidR="000162D0" w:rsidRPr="00561A82">
        <w:rPr>
          <w:rFonts w:ascii="Arial" w:hAnsi="Arial" w:cs="Arial"/>
          <w:i/>
          <w:iCs/>
          <w:sz w:val="24"/>
          <w:bdr w:val="none" w:sz="0" w:space="0" w:color="auto" w:frame="1"/>
          <w:shd w:val="clear" w:color="auto" w:fill="FFFFFF"/>
        </w:rPr>
        <w:t>See also</w:t>
      </w:r>
      <w:r w:rsidR="000162D0" w:rsidRPr="000162D0">
        <w:rPr>
          <w:rFonts w:ascii="Arial" w:hAnsi="Arial" w:cs="Arial"/>
          <w:sz w:val="24"/>
          <w:bdr w:val="none" w:sz="0" w:space="0" w:color="auto" w:frame="1"/>
          <w:shd w:val="clear" w:color="auto" w:fill="FFFFFF"/>
        </w:rPr>
        <w:t xml:space="preserve"> 1900 Maryland</w:t>
      </w:r>
      <w:r w:rsidR="00561A82">
        <w:rPr>
          <w:rFonts w:ascii="Arial" w:hAnsi="Arial" w:cs="Arial"/>
          <w:sz w:val="24"/>
          <w:bdr w:val="none" w:sz="0" w:space="0" w:color="auto" w:frame="1"/>
          <w:shd w:val="clear" w:color="auto" w:fill="FFFFFF"/>
        </w:rPr>
        <w:t xml:space="preserve"> law </w:t>
      </w:r>
      <w:r w:rsidR="000162D0" w:rsidRPr="000162D0">
        <w:rPr>
          <w:rFonts w:ascii="Arial" w:hAnsi="Arial" w:cs="Arial"/>
          <w:sz w:val="24"/>
          <w:bdr w:val="none" w:sz="0" w:space="0" w:color="auto" w:frame="1"/>
          <w:shd w:val="clear" w:color="auto" w:fill="FFFFFF"/>
        </w:rPr>
        <w:t>(“</w:t>
      </w:r>
      <w:r w:rsidR="000162D0" w:rsidRPr="000162D0">
        <w:rPr>
          <w:rFonts w:ascii="Arial" w:hAnsi="Arial" w:cs="Arial"/>
          <w:color w:val="000000"/>
          <w:sz w:val="24"/>
        </w:rPr>
        <w:t>Atkinson himself and all persons claiming under him are prevented by law from setting up the fraud and lack of consideration for the </w:t>
      </w:r>
      <w:r w:rsidR="000162D0" w:rsidRPr="000162D0">
        <w:rPr>
          <w:rStyle w:val="sssh"/>
          <w:rFonts w:ascii="Arial" w:hAnsi="Arial" w:cs="Arial"/>
          <w:color w:val="000000"/>
          <w:sz w:val="24"/>
          <w:bdr w:val="none" w:sz="0" w:space="0" w:color="auto" w:frame="1"/>
        </w:rPr>
        <w:t>mortgage</w:t>
      </w:r>
      <w:r w:rsidR="000162D0" w:rsidRPr="000162D0">
        <w:rPr>
          <w:rFonts w:ascii="Arial" w:hAnsi="Arial" w:cs="Arial"/>
          <w:color w:val="000000"/>
          <w:sz w:val="24"/>
        </w:rPr>
        <w:t>, by virtue of being </w:t>
      </w:r>
      <w:r w:rsidR="000162D0" w:rsidRPr="000162D0">
        <w:rPr>
          <w:rStyle w:val="sssh"/>
          <w:rFonts w:ascii="Arial" w:hAnsi="Arial" w:cs="Arial"/>
          <w:color w:val="000000"/>
          <w:sz w:val="24"/>
          <w:bdr w:val="none" w:sz="0" w:space="0" w:color="auto" w:frame="1"/>
        </w:rPr>
        <w:t>in pari delicto</w:t>
      </w:r>
      <w:r w:rsidR="000162D0" w:rsidRPr="000162D0">
        <w:rPr>
          <w:rFonts w:ascii="Arial" w:hAnsi="Arial" w:cs="Arial"/>
          <w:color w:val="000000"/>
          <w:sz w:val="24"/>
        </w:rPr>
        <w:t>. . .)</w:t>
      </w:r>
      <w:r w:rsidR="00561A82">
        <w:rPr>
          <w:rFonts w:ascii="Arial" w:hAnsi="Arial" w:cs="Arial"/>
          <w:color w:val="000000"/>
          <w:sz w:val="24"/>
        </w:rPr>
        <w:t xml:space="preserve"> </w:t>
      </w:r>
      <w:r w:rsidR="000162D0" w:rsidRPr="00561A82">
        <w:rPr>
          <w:rFonts w:ascii="Arial" w:hAnsi="Arial" w:cs="Arial"/>
          <w:i/>
          <w:iCs/>
          <w:sz w:val="24"/>
          <w:bdr w:val="none" w:sz="0" w:space="0" w:color="auto" w:frame="1"/>
        </w:rPr>
        <w:t>Econ. Sav. Bank v. Gordon</w:t>
      </w:r>
      <w:r w:rsidR="000162D0" w:rsidRPr="000162D0">
        <w:rPr>
          <w:rFonts w:ascii="Arial" w:hAnsi="Arial" w:cs="Arial"/>
          <w:sz w:val="24"/>
          <w:bdr w:val="none" w:sz="0" w:space="0" w:color="auto" w:frame="1"/>
        </w:rPr>
        <w:t>, 90 Md. 486, 498</w:t>
      </w:r>
      <w:r w:rsidR="00561A82">
        <w:rPr>
          <w:rFonts w:ascii="Arial" w:hAnsi="Arial" w:cs="Arial"/>
          <w:sz w:val="24"/>
          <w:bdr w:val="none" w:sz="0" w:space="0" w:color="auto" w:frame="1"/>
        </w:rPr>
        <w:t xml:space="preserve"> </w:t>
      </w:r>
      <w:r w:rsidR="000162D0" w:rsidRPr="000162D0">
        <w:rPr>
          <w:rFonts w:ascii="Arial" w:hAnsi="Arial" w:cs="Arial"/>
          <w:sz w:val="24"/>
          <w:bdr w:val="none" w:sz="0" w:space="0" w:color="auto" w:frame="1"/>
        </w:rPr>
        <w:t>(1900)</w:t>
      </w:r>
      <w:r w:rsidR="00561A82">
        <w:rPr>
          <w:rFonts w:ascii="Arial" w:hAnsi="Arial" w:cs="Arial"/>
          <w:sz w:val="24"/>
          <w:bdr w:val="none" w:sz="0" w:space="0" w:color="auto" w:frame="1"/>
        </w:rPr>
        <w:t>.</w:t>
      </w:r>
    </w:p>
  </w:footnote>
  <w:footnote w:id="14">
    <w:p w14:paraId="4A5CEA41" w14:textId="4B3E1203" w:rsidR="000031AC" w:rsidRPr="00661E0F" w:rsidRDefault="000031AC" w:rsidP="000031AC">
      <w:pPr>
        <w:pStyle w:val="FootnoteText"/>
        <w:jc w:val="both"/>
        <w:outlineLvl w:val="0"/>
        <w:rPr>
          <w:rFonts w:ascii="Arial" w:hAnsi="Arial" w:cs="Arial"/>
          <w:color w:val="000000"/>
          <w:sz w:val="24"/>
          <w:szCs w:val="24"/>
        </w:rPr>
      </w:pPr>
      <w:r w:rsidRPr="00661E0F">
        <w:rPr>
          <w:rStyle w:val="FootnoteReference"/>
          <w:rFonts w:ascii="Arial" w:hAnsi="Arial" w:cs="Arial"/>
          <w:sz w:val="24"/>
          <w:szCs w:val="24"/>
        </w:rPr>
        <w:footnoteRef/>
      </w:r>
      <w:r w:rsidRPr="00661E0F">
        <w:rPr>
          <w:rFonts w:ascii="Arial" w:hAnsi="Arial" w:cs="Arial"/>
          <w:sz w:val="24"/>
          <w:szCs w:val="24"/>
        </w:rPr>
        <w:t xml:space="preserve"> </w:t>
      </w:r>
      <w:r w:rsidRPr="00661E0F">
        <w:rPr>
          <w:rFonts w:ascii="Arial" w:hAnsi="Arial" w:cs="Arial"/>
          <w:i/>
          <w:iCs/>
          <w:sz w:val="24"/>
          <w:szCs w:val="24"/>
        </w:rPr>
        <w:t>See, e.g.,</w:t>
      </w:r>
      <w:r w:rsidRPr="00661E0F">
        <w:rPr>
          <w:rFonts w:ascii="Arial" w:hAnsi="Arial" w:cs="Arial"/>
          <w:sz w:val="24"/>
          <w:szCs w:val="24"/>
        </w:rPr>
        <w:t xml:space="preserve"> </w:t>
      </w:r>
      <w:r w:rsidRPr="00661E0F">
        <w:rPr>
          <w:rStyle w:val="ssit"/>
          <w:rFonts w:ascii="Arial" w:hAnsi="Arial" w:cs="Arial"/>
          <w:i/>
          <w:iCs/>
          <w:color w:val="000000"/>
          <w:sz w:val="24"/>
          <w:szCs w:val="24"/>
          <w:bdr w:val="none" w:sz="0" w:space="0" w:color="auto" w:frame="1"/>
        </w:rPr>
        <w:t>Wal-Mart Stores, Inc. v. Crist</w:t>
      </w:r>
      <w:r w:rsidRPr="00661E0F">
        <w:rPr>
          <w:rFonts w:ascii="Arial" w:hAnsi="Arial" w:cs="Arial"/>
          <w:color w:val="000000"/>
          <w:sz w:val="24"/>
          <w:szCs w:val="24"/>
        </w:rPr>
        <w:t>, 855 F.2d 1326, 1335-35 (8th Cir. Aug. 26, 1988) ("</w:t>
      </w:r>
      <w:r w:rsidRPr="00B95972">
        <w:rPr>
          <w:rFonts w:ascii="Arial" w:hAnsi="Arial" w:cs="Arial"/>
          <w:b/>
          <w:bCs/>
          <w:color w:val="000000"/>
          <w:sz w:val="24"/>
          <w:szCs w:val="24"/>
        </w:rPr>
        <w:t>'The general rule with respect to illegal contracts is that neither courts of law nor of equity will interpose to grant relief to the parties</w:t>
      </w:r>
      <w:r w:rsidRPr="00661E0F">
        <w:rPr>
          <w:rFonts w:ascii="Arial" w:hAnsi="Arial" w:cs="Arial"/>
          <w:color w:val="000000"/>
          <w:sz w:val="24"/>
          <w:szCs w:val="24"/>
        </w:rPr>
        <w:t xml:space="preserve">, </w:t>
      </w:r>
      <w:r w:rsidRPr="00B95972">
        <w:rPr>
          <w:rFonts w:ascii="Arial" w:hAnsi="Arial" w:cs="Arial"/>
          <w:b/>
          <w:bCs/>
          <w:color w:val="000000"/>
          <w:sz w:val="24"/>
          <w:szCs w:val="24"/>
        </w:rPr>
        <w:t>if they have been equally cognizant of the illegality</w:t>
      </w:r>
      <w:r w:rsidRPr="00661E0F">
        <w:rPr>
          <w:rFonts w:ascii="Arial" w:hAnsi="Arial" w:cs="Arial"/>
          <w:color w:val="000000"/>
          <w:sz w:val="24"/>
          <w:szCs w:val="24"/>
        </w:rPr>
        <w:t xml:space="preserve">.' The level of culpability of the parties was best put, we think, by the district court when it said, </w:t>
      </w:r>
      <w:r w:rsidRPr="00661E0F">
        <w:rPr>
          <w:rFonts w:ascii="Arial" w:hAnsi="Arial" w:cs="Arial"/>
          <w:b/>
          <w:bCs/>
          <w:color w:val="000000"/>
          <w:sz w:val="24"/>
          <w:szCs w:val="24"/>
        </w:rPr>
        <w:t>'there is more than enough fault to go around in this case</w:t>
      </w:r>
      <w:r w:rsidRPr="00661E0F">
        <w:rPr>
          <w:rFonts w:ascii="Arial" w:hAnsi="Arial" w:cs="Arial"/>
          <w:color w:val="000000"/>
          <w:sz w:val="24"/>
          <w:szCs w:val="24"/>
        </w:rPr>
        <w:t>.' Accordingly, we find that the district court should have found the parties </w:t>
      </w:r>
      <w:r w:rsidRPr="00661E0F">
        <w:rPr>
          <w:rStyle w:val="sh3500254742"/>
          <w:rFonts w:ascii="Arial" w:hAnsi="Arial" w:cs="Arial"/>
          <w:color w:val="000000"/>
          <w:sz w:val="24"/>
          <w:szCs w:val="24"/>
          <w:bdr w:val="none" w:sz="0" w:space="0" w:color="auto" w:frame="1"/>
        </w:rPr>
        <w:t>in pari delicto</w:t>
      </w:r>
      <w:r w:rsidRPr="00661E0F">
        <w:rPr>
          <w:rFonts w:ascii="Arial" w:hAnsi="Arial" w:cs="Arial"/>
          <w:color w:val="000000"/>
          <w:sz w:val="24"/>
          <w:szCs w:val="24"/>
        </w:rPr>
        <w:t> and to grant relief of any sort.")</w:t>
      </w:r>
      <w:r w:rsidR="00F72A05">
        <w:rPr>
          <w:rFonts w:ascii="Arial" w:hAnsi="Arial" w:cs="Arial"/>
          <w:color w:val="000000"/>
          <w:sz w:val="24"/>
          <w:szCs w:val="24"/>
        </w:rPr>
        <w:t xml:space="preserve"> </w:t>
      </w:r>
      <w:r>
        <w:rPr>
          <w:rFonts w:ascii="Arial" w:hAnsi="Arial" w:cs="Arial"/>
          <w:color w:val="000000"/>
          <w:sz w:val="24"/>
          <w:szCs w:val="24"/>
        </w:rPr>
        <w:t>(Emphasis added.)</w:t>
      </w:r>
    </w:p>
    <w:p w14:paraId="699391BC" w14:textId="77777777" w:rsidR="000031AC" w:rsidRPr="00076BF2" w:rsidRDefault="000031AC" w:rsidP="000031AC">
      <w:pPr>
        <w:pStyle w:val="FootnoteText"/>
        <w:jc w:val="both"/>
        <w:outlineLvl w:val="0"/>
        <w:rPr>
          <w:rFonts w:ascii="Arial" w:hAnsi="Arial" w:cs="Arial"/>
          <w:sz w:val="12"/>
          <w:szCs w:val="12"/>
        </w:rPr>
      </w:pPr>
    </w:p>
  </w:footnote>
  <w:footnote w:id="15">
    <w:p w14:paraId="5D4AB622" w14:textId="6444C885" w:rsidR="000031AC" w:rsidRPr="00661E0F" w:rsidRDefault="000031AC" w:rsidP="000031AC">
      <w:pPr>
        <w:pStyle w:val="FootnoteText"/>
        <w:jc w:val="both"/>
        <w:outlineLvl w:val="0"/>
        <w:rPr>
          <w:rStyle w:val="ssrfcsection"/>
          <w:rFonts w:ascii="Arial" w:hAnsi="Arial" w:cs="Arial"/>
          <w:color w:val="000000"/>
          <w:sz w:val="24"/>
          <w:szCs w:val="24"/>
          <w:bdr w:val="none" w:sz="0" w:space="0" w:color="auto" w:frame="1"/>
        </w:rPr>
      </w:pPr>
      <w:r w:rsidRPr="00661E0F">
        <w:rPr>
          <w:rStyle w:val="FootnoteReference"/>
          <w:rFonts w:ascii="Arial" w:hAnsi="Arial" w:cs="Arial"/>
          <w:sz w:val="24"/>
          <w:szCs w:val="24"/>
        </w:rPr>
        <w:footnoteRef/>
      </w:r>
      <w:r w:rsidRPr="00661E0F">
        <w:rPr>
          <w:rFonts w:ascii="Arial" w:hAnsi="Arial" w:cs="Arial"/>
          <w:sz w:val="24"/>
          <w:szCs w:val="24"/>
        </w:rPr>
        <w:t xml:space="preserve"> </w:t>
      </w:r>
      <w:r w:rsidRPr="00661E0F">
        <w:rPr>
          <w:rFonts w:ascii="Arial" w:hAnsi="Arial" w:cs="Arial"/>
          <w:i/>
          <w:iCs/>
          <w:color w:val="000000"/>
          <w:sz w:val="24"/>
          <w:szCs w:val="24"/>
        </w:rPr>
        <w:t>In</w:t>
      </w:r>
      <w:r w:rsidRPr="00661E0F">
        <w:rPr>
          <w:rStyle w:val="ssit"/>
          <w:rFonts w:ascii="Arial" w:hAnsi="Arial" w:cs="Arial"/>
          <w:i/>
          <w:iCs/>
          <w:color w:val="000000"/>
          <w:sz w:val="24"/>
          <w:szCs w:val="24"/>
          <w:bdr w:val="none" w:sz="0" w:space="0" w:color="auto" w:frame="1"/>
        </w:rPr>
        <w:t xml:space="preserve"> pari delicto</w:t>
      </w:r>
      <w:r w:rsidRPr="00661E0F">
        <w:rPr>
          <w:rFonts w:ascii="Arial" w:hAnsi="Arial" w:cs="Arial"/>
          <w:color w:val="000000"/>
          <w:sz w:val="24"/>
          <w:szCs w:val="24"/>
        </w:rPr>
        <w:t> is a common-law affirmative defense mandat</w:t>
      </w:r>
      <w:r>
        <w:rPr>
          <w:rFonts w:ascii="Arial" w:hAnsi="Arial" w:cs="Arial"/>
          <w:color w:val="000000"/>
          <w:sz w:val="24"/>
          <w:szCs w:val="24"/>
        </w:rPr>
        <w:t>ing</w:t>
      </w:r>
      <w:r w:rsidRPr="00661E0F">
        <w:rPr>
          <w:rFonts w:ascii="Arial" w:hAnsi="Arial" w:cs="Arial"/>
          <w:color w:val="000000"/>
          <w:sz w:val="24"/>
          <w:szCs w:val="24"/>
        </w:rPr>
        <w:t xml:space="preserve"> that the courts will not intercede to resolve a dispute between two wrongdoers.</w:t>
      </w:r>
      <w:r w:rsidRPr="00661E0F">
        <w:rPr>
          <w:rFonts w:ascii="Arial" w:hAnsi="Arial" w:cs="Arial"/>
          <w:b/>
          <w:bCs/>
          <w:color w:val="000000"/>
          <w:sz w:val="24"/>
          <w:szCs w:val="24"/>
          <w:bdr w:val="none" w:sz="0" w:space="0" w:color="auto" w:frame="1"/>
          <w:shd w:val="clear" w:color="auto" w:fill="FFFFFF"/>
        </w:rPr>
        <w:t xml:space="preserve"> </w:t>
      </w:r>
      <w:r w:rsidRPr="00661E0F">
        <w:rPr>
          <w:rFonts w:ascii="Arial" w:hAnsi="Arial" w:cs="Arial"/>
          <w:color w:val="000000"/>
          <w:sz w:val="24"/>
          <w:szCs w:val="24"/>
          <w:bdr w:val="none" w:sz="0" w:space="0" w:color="auto" w:frame="1"/>
          <w:shd w:val="clear" w:color="auto" w:fill="FFFFFF"/>
        </w:rPr>
        <w:t xml:space="preserve">The </w:t>
      </w:r>
      <w:r w:rsidRPr="00661E0F">
        <w:rPr>
          <w:rStyle w:val="ssit"/>
          <w:rFonts w:ascii="Arial" w:hAnsi="Arial" w:cs="Arial"/>
          <w:i/>
          <w:iCs/>
          <w:color w:val="000000"/>
          <w:sz w:val="24"/>
          <w:szCs w:val="24"/>
          <w:bdr w:val="none" w:sz="0" w:space="0" w:color="auto" w:frame="1"/>
        </w:rPr>
        <w:t>in pari delicto</w:t>
      </w:r>
      <w:r w:rsidRPr="00661E0F">
        <w:rPr>
          <w:rStyle w:val="ssrfcsection"/>
          <w:rFonts w:ascii="Arial" w:hAnsi="Arial" w:cs="Arial"/>
          <w:color w:val="000000"/>
          <w:sz w:val="24"/>
          <w:szCs w:val="24"/>
          <w:bdr w:val="none" w:sz="0" w:space="0" w:color="auto" w:frame="1"/>
        </w:rPr>
        <w:t> "doctrine is based on the policy that 'courts should not lend their good offices to mediating disputes among wrongdoers' and 'denying judicial relief to an admitted wrongdoer is an effective means of deterring illegality.'" </w:t>
      </w:r>
      <w:r w:rsidRPr="00661E0F">
        <w:rPr>
          <w:rStyle w:val="ssit"/>
          <w:rFonts w:ascii="Arial" w:hAnsi="Arial" w:cs="Arial"/>
          <w:i/>
          <w:iCs/>
          <w:color w:val="000000"/>
          <w:sz w:val="24"/>
          <w:szCs w:val="24"/>
          <w:bdr w:val="none" w:sz="0" w:space="0" w:color="auto" w:frame="1"/>
        </w:rPr>
        <w:t>Gatt Commc'ns, Inc. v. PMC Assocs., L.L.C</w:t>
      </w:r>
      <w:r w:rsidRPr="00661E0F">
        <w:rPr>
          <w:rStyle w:val="ssrfcsection"/>
          <w:rFonts w:ascii="Arial" w:hAnsi="Arial" w:cs="Arial"/>
          <w:color w:val="000000"/>
          <w:sz w:val="24"/>
          <w:szCs w:val="24"/>
          <w:bdr w:val="none" w:sz="0" w:space="0" w:color="auto" w:frame="1"/>
        </w:rPr>
        <w:t>., 711 F.3d 68, 83 (2d Cir. 2013) (</w:t>
      </w:r>
      <w:r w:rsidRPr="00661E0F">
        <w:rPr>
          <w:rStyle w:val="ssrfcsection"/>
          <w:rFonts w:ascii="Arial" w:hAnsi="Arial" w:cs="Arial"/>
          <w:i/>
          <w:iCs/>
          <w:color w:val="000000"/>
          <w:sz w:val="24"/>
          <w:szCs w:val="24"/>
          <w:bdr w:val="none" w:sz="0" w:space="0" w:color="auto" w:frame="1"/>
        </w:rPr>
        <w:t>quoting </w:t>
      </w:r>
      <w:r w:rsidRPr="00661E0F">
        <w:rPr>
          <w:rStyle w:val="ssit"/>
          <w:rFonts w:ascii="Arial" w:hAnsi="Arial" w:cs="Arial"/>
          <w:i/>
          <w:iCs/>
          <w:color w:val="000000"/>
          <w:sz w:val="24"/>
          <w:szCs w:val="24"/>
          <w:bdr w:val="none" w:sz="0" w:space="0" w:color="auto" w:frame="1"/>
        </w:rPr>
        <w:t xml:space="preserve">Bateman </w:t>
      </w:r>
      <w:r w:rsidR="00F72A05">
        <w:rPr>
          <w:rStyle w:val="ssit"/>
          <w:rFonts w:ascii="Arial" w:hAnsi="Arial" w:cs="Arial"/>
          <w:i/>
          <w:iCs/>
          <w:color w:val="000000"/>
          <w:sz w:val="24"/>
          <w:szCs w:val="24"/>
          <w:bdr w:val="none" w:sz="0" w:space="0" w:color="auto" w:frame="1"/>
        </w:rPr>
        <w:t>at</w:t>
      </w:r>
      <w:r w:rsidRPr="00661E0F">
        <w:rPr>
          <w:rStyle w:val="ssrfcsection"/>
          <w:rFonts w:ascii="Arial" w:hAnsi="Arial" w:cs="Arial"/>
          <w:color w:val="000000"/>
          <w:sz w:val="24"/>
          <w:szCs w:val="24"/>
          <w:bdr w:val="none" w:sz="0" w:space="0" w:color="auto" w:frame="1"/>
        </w:rPr>
        <w:t xml:space="preserve"> 472 U.S. 299, 306</w:t>
      </w:r>
      <w:r w:rsidR="00F72A05">
        <w:rPr>
          <w:rStyle w:val="ssrfcsection"/>
          <w:rFonts w:ascii="Arial" w:hAnsi="Arial" w:cs="Arial"/>
          <w:color w:val="000000"/>
          <w:sz w:val="24"/>
          <w:szCs w:val="24"/>
          <w:bdr w:val="none" w:sz="0" w:space="0" w:color="auto" w:frame="1"/>
        </w:rPr>
        <w:t>.)</w:t>
      </w:r>
    </w:p>
    <w:p w14:paraId="163A1237" w14:textId="77777777" w:rsidR="000031AC" w:rsidRPr="00661E0F" w:rsidRDefault="000031AC" w:rsidP="000031AC">
      <w:pPr>
        <w:pStyle w:val="FootnoteText"/>
        <w:jc w:val="both"/>
        <w:outlineLvl w:val="0"/>
        <w:rPr>
          <w:rFonts w:ascii="Arial" w:hAnsi="Arial" w:cs="Arial"/>
          <w:sz w:val="24"/>
          <w:szCs w:val="24"/>
        </w:rPr>
      </w:pPr>
      <w:r w:rsidRPr="00661E0F">
        <w:rPr>
          <w:rFonts w:ascii="Arial" w:hAnsi="Arial" w:cs="Arial"/>
          <w:color w:val="000000"/>
          <w:sz w:val="24"/>
          <w:szCs w:val="24"/>
        </w:rPr>
        <w:br/>
      </w:r>
    </w:p>
  </w:footnote>
  <w:footnote w:id="16">
    <w:p w14:paraId="007E4BBA" w14:textId="5D8ED8A2" w:rsidR="004014A7" w:rsidRPr="004014A7" w:rsidRDefault="004014A7" w:rsidP="005C76C0">
      <w:pPr>
        <w:pStyle w:val="FootnoteText"/>
        <w:rPr>
          <w:rFonts w:ascii="Arial" w:hAnsi="Arial" w:cs="Arial"/>
          <w:sz w:val="24"/>
        </w:rPr>
      </w:pPr>
      <w:r w:rsidRPr="004014A7">
        <w:rPr>
          <w:rStyle w:val="FootnoteReference"/>
          <w:rFonts w:ascii="Arial" w:hAnsi="Arial" w:cs="Arial"/>
          <w:sz w:val="24"/>
        </w:rPr>
        <w:footnoteRef/>
      </w:r>
      <w:r w:rsidRPr="004014A7">
        <w:rPr>
          <w:rFonts w:ascii="Arial" w:hAnsi="Arial" w:cs="Arial"/>
          <w:sz w:val="24"/>
        </w:rPr>
        <w:t xml:space="preserve"> Exhibit 8 to the Motion</w:t>
      </w:r>
      <w:r w:rsidR="00B82634">
        <w:rPr>
          <w:rFonts w:ascii="Arial" w:hAnsi="Arial" w:cs="Arial"/>
          <w:sz w:val="24"/>
        </w:rPr>
        <w:t>,</w:t>
      </w:r>
      <w:r w:rsidRPr="004014A7">
        <w:rPr>
          <w:rFonts w:ascii="Arial" w:hAnsi="Arial" w:cs="Arial"/>
          <w:sz w:val="24"/>
        </w:rPr>
        <w:t xml:space="preserve"> </w:t>
      </w:r>
      <w:r w:rsidR="00B82634" w:rsidRPr="004014A7">
        <w:rPr>
          <w:rFonts w:ascii="Arial" w:hAnsi="Arial" w:cs="Arial"/>
          <w:sz w:val="24"/>
        </w:rPr>
        <w:t>at page 3 of 11</w:t>
      </w:r>
      <w:r w:rsidR="00B82634">
        <w:rPr>
          <w:rFonts w:ascii="Arial" w:hAnsi="Arial" w:cs="Arial"/>
          <w:sz w:val="24"/>
        </w:rPr>
        <w:t xml:space="preserve">, </w:t>
      </w:r>
      <w:r w:rsidR="005C76C0">
        <w:rPr>
          <w:rFonts w:ascii="Arial" w:hAnsi="Arial" w:cs="Arial"/>
          <w:sz w:val="24"/>
        </w:rPr>
        <w:t xml:space="preserve">describes </w:t>
      </w:r>
      <w:r w:rsidRPr="004014A7">
        <w:rPr>
          <w:rFonts w:ascii="Arial" w:hAnsi="Arial" w:cs="Arial"/>
          <w:sz w:val="24"/>
        </w:rPr>
        <w:t xml:space="preserve">a document in </w:t>
      </w:r>
      <w:r w:rsidR="005C76C0">
        <w:rPr>
          <w:rFonts w:ascii="Arial" w:hAnsi="Arial" w:cs="Arial"/>
          <w:sz w:val="24"/>
        </w:rPr>
        <w:t xml:space="preserve">these </w:t>
      </w:r>
      <w:r w:rsidRPr="004014A7">
        <w:rPr>
          <w:rFonts w:ascii="Arial" w:hAnsi="Arial" w:cs="Arial"/>
          <w:sz w:val="24"/>
        </w:rPr>
        <w:t>Isam</w:t>
      </w:r>
      <w:r w:rsidR="005C76C0">
        <w:rPr>
          <w:rFonts w:ascii="Arial" w:hAnsi="Arial" w:cs="Arial"/>
          <w:sz w:val="24"/>
        </w:rPr>
        <w:t xml:space="preserve"> Yousuf</w:t>
      </w:r>
      <w:r w:rsidRPr="004014A7">
        <w:rPr>
          <w:rFonts w:ascii="Arial" w:hAnsi="Arial" w:cs="Arial"/>
          <w:sz w:val="24"/>
        </w:rPr>
        <w:t xml:space="preserve"> banking records</w:t>
      </w:r>
      <w:r w:rsidR="00B82634">
        <w:rPr>
          <w:rFonts w:ascii="Arial" w:hAnsi="Arial" w:cs="Arial"/>
          <w:sz w:val="24"/>
        </w:rPr>
        <w:t>.</w:t>
      </w:r>
      <w:r w:rsidR="005C76C0">
        <w:rPr>
          <w:rFonts w:ascii="Arial" w:hAnsi="Arial" w:cs="Arial"/>
          <w:sz w:val="24"/>
        </w:rPr>
        <w:t xml:space="preserve"> It </w:t>
      </w:r>
      <w:r w:rsidR="00B82634">
        <w:rPr>
          <w:rFonts w:ascii="Arial" w:hAnsi="Arial" w:cs="Arial"/>
          <w:sz w:val="24"/>
        </w:rPr>
        <w:t>discloses</w:t>
      </w:r>
      <w:r w:rsidR="005C76C0">
        <w:rPr>
          <w:rFonts w:ascii="Arial" w:hAnsi="Arial" w:cs="Arial"/>
          <w:sz w:val="24"/>
        </w:rPr>
        <w:t xml:space="preserve"> Isam’s Cairo Amman Bank account number and SWIFT code, </w:t>
      </w:r>
      <w:r w:rsidR="0060640A">
        <w:rPr>
          <w:rFonts w:ascii="Arial" w:hAnsi="Arial" w:cs="Arial"/>
          <w:sz w:val="24"/>
        </w:rPr>
        <w:t xml:space="preserve">also </w:t>
      </w:r>
      <w:r w:rsidR="005C76C0">
        <w:rPr>
          <w:rFonts w:ascii="Arial" w:hAnsi="Arial" w:cs="Arial"/>
          <w:sz w:val="24"/>
        </w:rPr>
        <w:t xml:space="preserve">listing </w:t>
      </w:r>
      <w:r w:rsidR="00B82634">
        <w:rPr>
          <w:rFonts w:ascii="Arial" w:hAnsi="Arial" w:cs="Arial"/>
          <w:sz w:val="24"/>
        </w:rPr>
        <w:t xml:space="preserve">(yet </w:t>
      </w:r>
      <w:r w:rsidR="005C76C0">
        <w:rPr>
          <w:rFonts w:ascii="Arial" w:hAnsi="Arial" w:cs="Arial"/>
          <w:sz w:val="24"/>
        </w:rPr>
        <w:t>an</w:t>
      </w:r>
      <w:r w:rsidR="00B82634">
        <w:rPr>
          <w:rFonts w:ascii="Arial" w:hAnsi="Arial" w:cs="Arial"/>
          <w:sz w:val="24"/>
        </w:rPr>
        <w:t>other)</w:t>
      </w:r>
      <w:r w:rsidR="005C76C0">
        <w:rPr>
          <w:rFonts w:ascii="Arial" w:hAnsi="Arial" w:cs="Arial"/>
          <w:sz w:val="24"/>
        </w:rPr>
        <w:t xml:space="preserve"> undisclosed residential address for Isam</w:t>
      </w:r>
      <w:r w:rsidR="00B82634">
        <w:rPr>
          <w:rFonts w:ascii="Arial" w:hAnsi="Arial" w:cs="Arial"/>
          <w:sz w:val="24"/>
        </w:rPr>
        <w:t>,</w:t>
      </w:r>
      <w:r w:rsidR="005C76C0">
        <w:rPr>
          <w:rFonts w:ascii="Arial" w:hAnsi="Arial" w:cs="Arial"/>
          <w:sz w:val="24"/>
        </w:rPr>
        <w:t xml:space="preserve"> in Amman. </w:t>
      </w:r>
    </w:p>
    <w:p w14:paraId="475FA2A3" w14:textId="3AEF11EB" w:rsidR="004014A7" w:rsidRPr="005C76C0" w:rsidRDefault="004014A7">
      <w:pPr>
        <w:pStyle w:val="FootnoteText"/>
        <w:rPr>
          <w:sz w:val="8"/>
          <w:szCs w:val="8"/>
        </w:rPr>
      </w:pPr>
    </w:p>
    <w:p w14:paraId="69646D0B" w14:textId="1FFF734E" w:rsidR="004014A7" w:rsidRPr="005C76C0" w:rsidRDefault="004014A7" w:rsidP="005C76C0">
      <w:pPr>
        <w:pStyle w:val="FootnoteText"/>
        <w:ind w:left="720" w:right="720"/>
        <w:jc w:val="both"/>
        <w:outlineLvl w:val="0"/>
        <w:rPr>
          <w:rFonts w:ascii="Arial" w:hAnsi="Arial" w:cs="Arial"/>
          <w:sz w:val="24"/>
        </w:rPr>
      </w:pPr>
      <w:r w:rsidRPr="004014A7">
        <w:rPr>
          <w:rFonts w:ascii="Arial" w:hAnsi="Arial" w:cs="Arial"/>
          <w:sz w:val="24"/>
        </w:rPr>
        <w:t xml:space="preserve">-a copy of a transfer order dated March 11, 2002 in an amount of $25,000 (USD) from account No. 40606354190 from Island Appliances </w:t>
      </w:r>
      <w:r w:rsidRPr="005C76C0">
        <w:rPr>
          <w:rFonts w:ascii="Arial" w:hAnsi="Arial" w:cs="Arial"/>
          <w:b/>
          <w:bCs/>
          <w:sz w:val="24"/>
        </w:rPr>
        <w:t>in favor of ISAM YOUSUF residing on Garden Street, Amman, Jordan (account No. 0250317114200 drawn on the Cairo Amman Bank (Jordan), swift code: CAAB JO AM).</w:t>
      </w:r>
      <w:r w:rsidR="005C76C0">
        <w:rPr>
          <w:rFonts w:ascii="Arial" w:hAnsi="Arial" w:cs="Arial"/>
          <w:b/>
          <w:bCs/>
          <w:sz w:val="24"/>
        </w:rPr>
        <w:t xml:space="preserve"> </w:t>
      </w:r>
      <w:r w:rsidR="005C76C0" w:rsidRPr="005C76C0">
        <w:rPr>
          <w:rFonts w:ascii="Arial" w:hAnsi="Arial" w:cs="Arial"/>
          <w:sz w:val="24"/>
        </w:rPr>
        <w:t>(Emphasis added.)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805D" w14:textId="4F09ECF9" w:rsidR="002976F0" w:rsidRPr="002976F0" w:rsidRDefault="002976F0">
    <w:pPr>
      <w:pStyle w:val="Header"/>
      <w:rPr>
        <w:sz w:val="20"/>
        <w:szCs w:val="20"/>
      </w:rPr>
    </w:pPr>
    <w:r w:rsidRPr="002976F0">
      <w:rPr>
        <w:sz w:val="20"/>
        <w:szCs w:val="20"/>
      </w:rPr>
      <w:t xml:space="preserve">Hamed’s </w:t>
    </w:r>
    <w:r w:rsidR="00754200">
      <w:rPr>
        <w:sz w:val="20"/>
        <w:szCs w:val="20"/>
      </w:rPr>
      <w:t>REPLY</w:t>
    </w:r>
    <w:r w:rsidR="00C915CF">
      <w:rPr>
        <w:sz w:val="20"/>
        <w:szCs w:val="20"/>
      </w:rPr>
      <w:t xml:space="preserve"> re his Second Motion to Compel</w:t>
    </w:r>
  </w:p>
  <w:p w14:paraId="4F294BED" w14:textId="0A6C656F" w:rsidR="002976F0" w:rsidRDefault="002976F0">
    <w:pPr>
      <w:pStyle w:val="Header"/>
      <w:rPr>
        <w:noProof/>
      </w:rPr>
    </w:pPr>
    <w:r w:rsidRPr="002976F0">
      <w:rPr>
        <w:sz w:val="20"/>
        <w:szCs w:val="20"/>
      </w:rPr>
      <w:t xml:space="preserve">Page </w:t>
    </w:r>
    <w:r w:rsidRPr="002976F0">
      <w:rPr>
        <w:sz w:val="20"/>
        <w:szCs w:val="20"/>
      </w:rPr>
      <w:fldChar w:fldCharType="begin"/>
    </w:r>
    <w:r w:rsidRPr="002976F0">
      <w:rPr>
        <w:sz w:val="20"/>
        <w:szCs w:val="20"/>
      </w:rPr>
      <w:instrText xml:space="preserve"> PAGE   \* MERGEFORMAT </w:instrText>
    </w:r>
    <w:r w:rsidRPr="002976F0">
      <w:rPr>
        <w:sz w:val="20"/>
        <w:szCs w:val="20"/>
      </w:rPr>
      <w:fldChar w:fldCharType="separate"/>
    </w:r>
    <w:r w:rsidRPr="002976F0">
      <w:rPr>
        <w:noProof/>
        <w:sz w:val="20"/>
        <w:szCs w:val="20"/>
      </w:rPr>
      <w:t>1</w:t>
    </w:r>
    <w:r w:rsidRPr="002976F0">
      <w:rPr>
        <w:noProof/>
        <w:sz w:val="20"/>
        <w:szCs w:val="20"/>
      </w:rPr>
      <w:fldChar w:fldCharType="end"/>
    </w:r>
  </w:p>
  <w:p w14:paraId="420538BD" w14:textId="77777777" w:rsidR="002976F0" w:rsidRDefault="00297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F931" w14:textId="77777777" w:rsidR="002949ED" w:rsidRPr="005C742C" w:rsidRDefault="002949ED" w:rsidP="002949ED">
    <w:pPr>
      <w:pStyle w:val="Heading1"/>
      <w:jc w:val="center"/>
      <w:rPr>
        <w:rFonts w:cs="Arial"/>
        <w:sz w:val="24"/>
        <w:szCs w:val="24"/>
      </w:rPr>
    </w:pPr>
    <w:r w:rsidRPr="005C742C">
      <w:rPr>
        <w:rFonts w:cs="Arial"/>
        <w:sz w:val="24"/>
        <w:szCs w:val="24"/>
      </w:rPr>
      <w:t>IN THE SUPERIOR COURT OF THE VIRGIN ISLANDS</w:t>
    </w:r>
  </w:p>
  <w:p w14:paraId="54A3FB20" w14:textId="2BA19E36" w:rsidR="002949ED" w:rsidRDefault="002949ED" w:rsidP="002949ED">
    <w:pPr>
      <w:jc w:val="center"/>
      <w:rPr>
        <w:rFonts w:cs="Arial"/>
        <w:b/>
      </w:rPr>
    </w:pPr>
    <w:r w:rsidRPr="005C742C">
      <w:rPr>
        <w:rFonts w:cs="Arial"/>
        <w:b/>
      </w:rPr>
      <w:t>DIVISION OF ST. CROIX</w:t>
    </w:r>
  </w:p>
  <w:p w14:paraId="59348885" w14:textId="77777777" w:rsidR="002949ED" w:rsidRPr="000A7D63" w:rsidRDefault="002949ED">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AA0"/>
    <w:multiLevelType w:val="hybridMultilevel"/>
    <w:tmpl w:val="DD1C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60485"/>
    <w:multiLevelType w:val="hybridMultilevel"/>
    <w:tmpl w:val="31C84E74"/>
    <w:lvl w:ilvl="0" w:tplc="26526C08">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290B48"/>
    <w:multiLevelType w:val="hybridMultilevel"/>
    <w:tmpl w:val="616CF51E"/>
    <w:lvl w:ilvl="0" w:tplc="FFFFFFFF">
      <w:start w:val="1"/>
      <w:numFmt w:val="decimal"/>
      <w:lvlText w:val="%1."/>
      <w:lvlJc w:val="left"/>
      <w:pPr>
        <w:ind w:left="117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 w15:restartNumberingAfterBreak="0">
    <w:nsid w:val="133E723F"/>
    <w:multiLevelType w:val="hybridMultilevel"/>
    <w:tmpl w:val="FF4C908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320F79"/>
    <w:multiLevelType w:val="hybridMultilevel"/>
    <w:tmpl w:val="EC2C1ABE"/>
    <w:lvl w:ilvl="0" w:tplc="832499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DD1FB5"/>
    <w:multiLevelType w:val="hybridMultilevel"/>
    <w:tmpl w:val="EBD265EE"/>
    <w:lvl w:ilvl="0" w:tplc="57E0C0E0">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000DE0"/>
    <w:multiLevelType w:val="hybridMultilevel"/>
    <w:tmpl w:val="616CF51E"/>
    <w:lvl w:ilvl="0" w:tplc="0F06AE18">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7" w15:restartNumberingAfterBreak="0">
    <w:nsid w:val="2EE6589B"/>
    <w:multiLevelType w:val="hybridMultilevel"/>
    <w:tmpl w:val="9BD0029C"/>
    <w:lvl w:ilvl="0" w:tplc="4C0CE7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992789"/>
    <w:multiLevelType w:val="hybridMultilevel"/>
    <w:tmpl w:val="23C489B4"/>
    <w:lvl w:ilvl="0" w:tplc="D9821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B87A5B"/>
    <w:multiLevelType w:val="hybridMultilevel"/>
    <w:tmpl w:val="78386DCC"/>
    <w:lvl w:ilvl="0" w:tplc="C756B7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975E5C"/>
    <w:multiLevelType w:val="hybridMultilevel"/>
    <w:tmpl w:val="46C0918A"/>
    <w:lvl w:ilvl="0" w:tplc="9CB66A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2E4A62"/>
    <w:multiLevelType w:val="hybridMultilevel"/>
    <w:tmpl w:val="B2BED492"/>
    <w:lvl w:ilvl="0" w:tplc="80745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397CD4"/>
    <w:multiLevelType w:val="hybridMultilevel"/>
    <w:tmpl w:val="27AC6F4C"/>
    <w:lvl w:ilvl="0" w:tplc="0ABC3580">
      <w:numFmt w:val="bullet"/>
      <w:lvlText w:val="-"/>
      <w:lvlJc w:val="left"/>
      <w:pPr>
        <w:tabs>
          <w:tab w:val="num" w:pos="1080"/>
        </w:tabs>
        <w:ind w:left="1080" w:hanging="360"/>
      </w:pPr>
      <w:rPr>
        <w:rFonts w:ascii="Mangal" w:eastAsia="Times New Roman" w:hAnsi="Manga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163DC8"/>
    <w:multiLevelType w:val="hybridMultilevel"/>
    <w:tmpl w:val="DA1E4D3C"/>
    <w:lvl w:ilvl="0" w:tplc="31CE0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41937"/>
    <w:multiLevelType w:val="hybridMultilevel"/>
    <w:tmpl w:val="3C6C8304"/>
    <w:lvl w:ilvl="0" w:tplc="5BFA08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340986"/>
    <w:multiLevelType w:val="hybridMultilevel"/>
    <w:tmpl w:val="131A1A8A"/>
    <w:lvl w:ilvl="0" w:tplc="6248E1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7F2CF1"/>
    <w:multiLevelType w:val="hybridMultilevel"/>
    <w:tmpl w:val="59A694EC"/>
    <w:lvl w:ilvl="0" w:tplc="CDCED296">
      <w:start w:val="3"/>
      <w:numFmt w:val="lowerLetter"/>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B48C2"/>
    <w:multiLevelType w:val="hybridMultilevel"/>
    <w:tmpl w:val="1DFE1056"/>
    <w:lvl w:ilvl="0" w:tplc="B1628C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600B78"/>
    <w:multiLevelType w:val="hybridMultilevel"/>
    <w:tmpl w:val="26E6B9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E0B4D"/>
    <w:multiLevelType w:val="hybridMultilevel"/>
    <w:tmpl w:val="403A3F0E"/>
    <w:lvl w:ilvl="0" w:tplc="F0220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01C07"/>
    <w:multiLevelType w:val="hybridMultilevel"/>
    <w:tmpl w:val="3F8C548C"/>
    <w:lvl w:ilvl="0" w:tplc="A4F4AB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D5931"/>
    <w:multiLevelType w:val="hybridMultilevel"/>
    <w:tmpl w:val="06BE05EE"/>
    <w:lvl w:ilvl="0" w:tplc="7D6650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7F0CA0"/>
    <w:multiLevelType w:val="hybridMultilevel"/>
    <w:tmpl w:val="24B20D8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D56F8"/>
    <w:multiLevelType w:val="hybridMultilevel"/>
    <w:tmpl w:val="75525CAC"/>
    <w:lvl w:ilvl="0" w:tplc="0CDCBD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7FB587D"/>
    <w:multiLevelType w:val="hybridMultilevel"/>
    <w:tmpl w:val="3D3EE16A"/>
    <w:lvl w:ilvl="0" w:tplc="57E20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100C61"/>
    <w:multiLevelType w:val="hybridMultilevel"/>
    <w:tmpl w:val="766EF630"/>
    <w:lvl w:ilvl="0" w:tplc="929871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B70E4C"/>
    <w:multiLevelType w:val="hybridMultilevel"/>
    <w:tmpl w:val="227A22DE"/>
    <w:lvl w:ilvl="0" w:tplc="73F871CC">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0A77BC"/>
    <w:multiLevelType w:val="hybridMultilevel"/>
    <w:tmpl w:val="5AC21880"/>
    <w:lvl w:ilvl="0" w:tplc="2DE63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687B04"/>
    <w:multiLevelType w:val="hybridMultilevel"/>
    <w:tmpl w:val="B28AC6CA"/>
    <w:lvl w:ilvl="0" w:tplc="1F2079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1E3E82"/>
    <w:multiLevelType w:val="hybridMultilevel"/>
    <w:tmpl w:val="0802B83A"/>
    <w:lvl w:ilvl="0" w:tplc="B98EFCD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6B4EA6"/>
    <w:multiLevelType w:val="hybridMultilevel"/>
    <w:tmpl w:val="9E12ACEC"/>
    <w:lvl w:ilvl="0" w:tplc="DFE6F7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824FB2"/>
    <w:multiLevelType w:val="hybridMultilevel"/>
    <w:tmpl w:val="C9183868"/>
    <w:lvl w:ilvl="0" w:tplc="5AEC72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2741521">
    <w:abstractNumId w:val="1"/>
  </w:num>
  <w:num w:numId="2" w16cid:durableId="1368943162">
    <w:abstractNumId w:val="12"/>
  </w:num>
  <w:num w:numId="3" w16cid:durableId="1507942981">
    <w:abstractNumId w:val="13"/>
  </w:num>
  <w:num w:numId="4" w16cid:durableId="997265514">
    <w:abstractNumId w:val="26"/>
  </w:num>
  <w:num w:numId="5" w16cid:durableId="1793983458">
    <w:abstractNumId w:val="24"/>
  </w:num>
  <w:num w:numId="6" w16cid:durableId="1834251538">
    <w:abstractNumId w:val="23"/>
  </w:num>
  <w:num w:numId="7" w16cid:durableId="281111298">
    <w:abstractNumId w:val="0"/>
  </w:num>
  <w:num w:numId="8" w16cid:durableId="2143233693">
    <w:abstractNumId w:val="3"/>
  </w:num>
  <w:num w:numId="9" w16cid:durableId="335499450">
    <w:abstractNumId w:val="14"/>
  </w:num>
  <w:num w:numId="10" w16cid:durableId="1097990942">
    <w:abstractNumId w:val="11"/>
  </w:num>
  <w:num w:numId="11" w16cid:durableId="229198723">
    <w:abstractNumId w:val="18"/>
  </w:num>
  <w:num w:numId="12" w16cid:durableId="227424239">
    <w:abstractNumId w:val="22"/>
  </w:num>
  <w:num w:numId="13" w16cid:durableId="1026831184">
    <w:abstractNumId w:val="15"/>
  </w:num>
  <w:num w:numId="14" w16cid:durableId="1256205564">
    <w:abstractNumId w:val="20"/>
  </w:num>
  <w:num w:numId="15" w16cid:durableId="1955284910">
    <w:abstractNumId w:val="29"/>
  </w:num>
  <w:num w:numId="16" w16cid:durableId="477113486">
    <w:abstractNumId w:val="8"/>
  </w:num>
  <w:num w:numId="17" w16cid:durableId="1513497618">
    <w:abstractNumId w:val="6"/>
  </w:num>
  <w:num w:numId="18" w16cid:durableId="711928196">
    <w:abstractNumId w:val="9"/>
  </w:num>
  <w:num w:numId="19" w16cid:durableId="1613390715">
    <w:abstractNumId w:val="7"/>
  </w:num>
  <w:num w:numId="20" w16cid:durableId="1241721672">
    <w:abstractNumId w:val="27"/>
  </w:num>
  <w:num w:numId="21" w16cid:durableId="131949083">
    <w:abstractNumId w:val="2"/>
  </w:num>
  <w:num w:numId="22" w16cid:durableId="96222133">
    <w:abstractNumId w:val="16"/>
  </w:num>
  <w:num w:numId="23" w16cid:durableId="223444391">
    <w:abstractNumId w:val="4"/>
  </w:num>
  <w:num w:numId="24" w16cid:durableId="1383673924">
    <w:abstractNumId w:val="30"/>
  </w:num>
  <w:num w:numId="25" w16cid:durableId="980384737">
    <w:abstractNumId w:val="25"/>
  </w:num>
  <w:num w:numId="26" w16cid:durableId="1906911627">
    <w:abstractNumId w:val="19"/>
  </w:num>
  <w:num w:numId="27" w16cid:durableId="804007453">
    <w:abstractNumId w:val="21"/>
  </w:num>
  <w:num w:numId="28" w16cid:durableId="307515422">
    <w:abstractNumId w:val="17"/>
  </w:num>
  <w:num w:numId="29" w16cid:durableId="452599570">
    <w:abstractNumId w:val="31"/>
  </w:num>
  <w:num w:numId="30" w16cid:durableId="1472018240">
    <w:abstractNumId w:val="10"/>
  </w:num>
  <w:num w:numId="31" w16cid:durableId="841287006">
    <w:abstractNumId w:val="28"/>
  </w:num>
  <w:num w:numId="32" w16cid:durableId="381057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72"/>
    <w:rsid w:val="000026B0"/>
    <w:rsid w:val="000031AC"/>
    <w:rsid w:val="00011161"/>
    <w:rsid w:val="000128E8"/>
    <w:rsid w:val="00015E91"/>
    <w:rsid w:val="000162D0"/>
    <w:rsid w:val="0001798E"/>
    <w:rsid w:val="00017A10"/>
    <w:rsid w:val="00021241"/>
    <w:rsid w:val="000275D1"/>
    <w:rsid w:val="00027652"/>
    <w:rsid w:val="00033207"/>
    <w:rsid w:val="00040FE5"/>
    <w:rsid w:val="000428EE"/>
    <w:rsid w:val="0004301D"/>
    <w:rsid w:val="00076BF2"/>
    <w:rsid w:val="000775B4"/>
    <w:rsid w:val="00082BBC"/>
    <w:rsid w:val="000A2139"/>
    <w:rsid w:val="000A3992"/>
    <w:rsid w:val="000A7D63"/>
    <w:rsid w:val="000B2D36"/>
    <w:rsid w:val="000B5891"/>
    <w:rsid w:val="000C40D7"/>
    <w:rsid w:val="000D2A30"/>
    <w:rsid w:val="000E3665"/>
    <w:rsid w:val="000E6322"/>
    <w:rsid w:val="000F0203"/>
    <w:rsid w:val="001017FD"/>
    <w:rsid w:val="00106CDB"/>
    <w:rsid w:val="00134ADD"/>
    <w:rsid w:val="001372F6"/>
    <w:rsid w:val="00143484"/>
    <w:rsid w:val="00144097"/>
    <w:rsid w:val="00146687"/>
    <w:rsid w:val="00165F72"/>
    <w:rsid w:val="00170720"/>
    <w:rsid w:val="00170E29"/>
    <w:rsid w:val="00180F1A"/>
    <w:rsid w:val="0018655A"/>
    <w:rsid w:val="00192F1E"/>
    <w:rsid w:val="00197FCC"/>
    <w:rsid w:val="001A05A0"/>
    <w:rsid w:val="001A2E75"/>
    <w:rsid w:val="001B6F51"/>
    <w:rsid w:val="001C27C1"/>
    <w:rsid w:val="001C75D3"/>
    <w:rsid w:val="001D3672"/>
    <w:rsid w:val="001D3D7B"/>
    <w:rsid w:val="001D6695"/>
    <w:rsid w:val="00202D45"/>
    <w:rsid w:val="00212EA8"/>
    <w:rsid w:val="00217A73"/>
    <w:rsid w:val="00224C22"/>
    <w:rsid w:val="00230301"/>
    <w:rsid w:val="002376E5"/>
    <w:rsid w:val="00237A68"/>
    <w:rsid w:val="002415E6"/>
    <w:rsid w:val="0024271D"/>
    <w:rsid w:val="0024795F"/>
    <w:rsid w:val="00266F9A"/>
    <w:rsid w:val="002938D9"/>
    <w:rsid w:val="002949ED"/>
    <w:rsid w:val="002976F0"/>
    <w:rsid w:val="002A0854"/>
    <w:rsid w:val="002A63CA"/>
    <w:rsid w:val="002A6DC6"/>
    <w:rsid w:val="002B0303"/>
    <w:rsid w:val="002B2A3C"/>
    <w:rsid w:val="002D4A01"/>
    <w:rsid w:val="002D730C"/>
    <w:rsid w:val="002E1AF8"/>
    <w:rsid w:val="002F2146"/>
    <w:rsid w:val="002F3D36"/>
    <w:rsid w:val="003065FE"/>
    <w:rsid w:val="003103C7"/>
    <w:rsid w:val="003129DA"/>
    <w:rsid w:val="00317D97"/>
    <w:rsid w:val="00321DDD"/>
    <w:rsid w:val="00322299"/>
    <w:rsid w:val="00333068"/>
    <w:rsid w:val="00343AB0"/>
    <w:rsid w:val="00345733"/>
    <w:rsid w:val="00353AE4"/>
    <w:rsid w:val="003555D8"/>
    <w:rsid w:val="00357730"/>
    <w:rsid w:val="0036771D"/>
    <w:rsid w:val="00377B8D"/>
    <w:rsid w:val="0039100A"/>
    <w:rsid w:val="00393954"/>
    <w:rsid w:val="003C2FA4"/>
    <w:rsid w:val="003D2B4E"/>
    <w:rsid w:val="004014A7"/>
    <w:rsid w:val="00403FA4"/>
    <w:rsid w:val="00414D93"/>
    <w:rsid w:val="00417AEF"/>
    <w:rsid w:val="00422499"/>
    <w:rsid w:val="004465A5"/>
    <w:rsid w:val="004506E6"/>
    <w:rsid w:val="00456055"/>
    <w:rsid w:val="004564FA"/>
    <w:rsid w:val="00456D1A"/>
    <w:rsid w:val="00465642"/>
    <w:rsid w:val="00467FBC"/>
    <w:rsid w:val="00482F63"/>
    <w:rsid w:val="0049034B"/>
    <w:rsid w:val="00492D20"/>
    <w:rsid w:val="00494701"/>
    <w:rsid w:val="00496A50"/>
    <w:rsid w:val="004A0257"/>
    <w:rsid w:val="004A24F2"/>
    <w:rsid w:val="004A4798"/>
    <w:rsid w:val="004C3194"/>
    <w:rsid w:val="004C3DB7"/>
    <w:rsid w:val="004C7C97"/>
    <w:rsid w:val="004F143C"/>
    <w:rsid w:val="004F527C"/>
    <w:rsid w:val="004F5F36"/>
    <w:rsid w:val="00500EFA"/>
    <w:rsid w:val="00501CB5"/>
    <w:rsid w:val="00501F01"/>
    <w:rsid w:val="0052049A"/>
    <w:rsid w:val="00527356"/>
    <w:rsid w:val="00527A09"/>
    <w:rsid w:val="005401D9"/>
    <w:rsid w:val="005434E0"/>
    <w:rsid w:val="00546375"/>
    <w:rsid w:val="00550B22"/>
    <w:rsid w:val="005571F4"/>
    <w:rsid w:val="00561A82"/>
    <w:rsid w:val="00561B56"/>
    <w:rsid w:val="0056292C"/>
    <w:rsid w:val="005752F4"/>
    <w:rsid w:val="00581225"/>
    <w:rsid w:val="00581D86"/>
    <w:rsid w:val="005A14BF"/>
    <w:rsid w:val="005B08A7"/>
    <w:rsid w:val="005B1149"/>
    <w:rsid w:val="005C76C0"/>
    <w:rsid w:val="005D2BEF"/>
    <w:rsid w:val="005D31E5"/>
    <w:rsid w:val="005E0003"/>
    <w:rsid w:val="005E72CE"/>
    <w:rsid w:val="005F03D6"/>
    <w:rsid w:val="005F69BB"/>
    <w:rsid w:val="006047DF"/>
    <w:rsid w:val="0060640A"/>
    <w:rsid w:val="00606CC9"/>
    <w:rsid w:val="00625071"/>
    <w:rsid w:val="0063504C"/>
    <w:rsid w:val="00635BAF"/>
    <w:rsid w:val="0064424F"/>
    <w:rsid w:val="0064603D"/>
    <w:rsid w:val="006609A9"/>
    <w:rsid w:val="00661E0F"/>
    <w:rsid w:val="00667ECE"/>
    <w:rsid w:val="00674853"/>
    <w:rsid w:val="00681DF5"/>
    <w:rsid w:val="006832C2"/>
    <w:rsid w:val="00687FFD"/>
    <w:rsid w:val="00690C75"/>
    <w:rsid w:val="006A0C00"/>
    <w:rsid w:val="006A7C08"/>
    <w:rsid w:val="006B00BA"/>
    <w:rsid w:val="006B55DD"/>
    <w:rsid w:val="006D2B98"/>
    <w:rsid w:val="006D7753"/>
    <w:rsid w:val="006E3395"/>
    <w:rsid w:val="006F2130"/>
    <w:rsid w:val="006F466B"/>
    <w:rsid w:val="0070199B"/>
    <w:rsid w:val="00702CEE"/>
    <w:rsid w:val="00703564"/>
    <w:rsid w:val="00735A71"/>
    <w:rsid w:val="00747AFD"/>
    <w:rsid w:val="00754200"/>
    <w:rsid w:val="00755452"/>
    <w:rsid w:val="007715BE"/>
    <w:rsid w:val="007739A9"/>
    <w:rsid w:val="00797AEA"/>
    <w:rsid w:val="007A6AA5"/>
    <w:rsid w:val="007B04CA"/>
    <w:rsid w:val="007C0F53"/>
    <w:rsid w:val="007C26BD"/>
    <w:rsid w:val="00803AFF"/>
    <w:rsid w:val="00804B0E"/>
    <w:rsid w:val="008065AB"/>
    <w:rsid w:val="00812207"/>
    <w:rsid w:val="00814B49"/>
    <w:rsid w:val="00831FE5"/>
    <w:rsid w:val="008324C5"/>
    <w:rsid w:val="008326B0"/>
    <w:rsid w:val="00833EAB"/>
    <w:rsid w:val="0083486A"/>
    <w:rsid w:val="00835828"/>
    <w:rsid w:val="008363EA"/>
    <w:rsid w:val="008418BA"/>
    <w:rsid w:val="00856302"/>
    <w:rsid w:val="00865F8E"/>
    <w:rsid w:val="00870D25"/>
    <w:rsid w:val="008735D9"/>
    <w:rsid w:val="00876F9C"/>
    <w:rsid w:val="00885BD0"/>
    <w:rsid w:val="0089735D"/>
    <w:rsid w:val="008A16CD"/>
    <w:rsid w:val="008A471F"/>
    <w:rsid w:val="008A725E"/>
    <w:rsid w:val="008B11F9"/>
    <w:rsid w:val="008B25D1"/>
    <w:rsid w:val="008B717C"/>
    <w:rsid w:val="008C1A94"/>
    <w:rsid w:val="008D363B"/>
    <w:rsid w:val="008E040B"/>
    <w:rsid w:val="008E1CDC"/>
    <w:rsid w:val="008E2F20"/>
    <w:rsid w:val="008E5216"/>
    <w:rsid w:val="00914545"/>
    <w:rsid w:val="0092172F"/>
    <w:rsid w:val="00931920"/>
    <w:rsid w:val="00931938"/>
    <w:rsid w:val="0094149F"/>
    <w:rsid w:val="009472C2"/>
    <w:rsid w:val="00947CD0"/>
    <w:rsid w:val="00961E56"/>
    <w:rsid w:val="00962401"/>
    <w:rsid w:val="00983758"/>
    <w:rsid w:val="009930B4"/>
    <w:rsid w:val="009A6549"/>
    <w:rsid w:val="009B3FD2"/>
    <w:rsid w:val="009C05CC"/>
    <w:rsid w:val="009C1AD5"/>
    <w:rsid w:val="009D6559"/>
    <w:rsid w:val="009F0BB6"/>
    <w:rsid w:val="009F2AB4"/>
    <w:rsid w:val="00A05D4B"/>
    <w:rsid w:val="00A07690"/>
    <w:rsid w:val="00A07DAD"/>
    <w:rsid w:val="00A13BCC"/>
    <w:rsid w:val="00A17BD5"/>
    <w:rsid w:val="00A23FEF"/>
    <w:rsid w:val="00A27451"/>
    <w:rsid w:val="00A349BB"/>
    <w:rsid w:val="00A40FA1"/>
    <w:rsid w:val="00A4189E"/>
    <w:rsid w:val="00A41A39"/>
    <w:rsid w:val="00A61AA6"/>
    <w:rsid w:val="00A67BC1"/>
    <w:rsid w:val="00AB50C4"/>
    <w:rsid w:val="00AC136A"/>
    <w:rsid w:val="00AF11AF"/>
    <w:rsid w:val="00AF2E0C"/>
    <w:rsid w:val="00AF78AD"/>
    <w:rsid w:val="00B0438B"/>
    <w:rsid w:val="00B04805"/>
    <w:rsid w:val="00B054A8"/>
    <w:rsid w:val="00B05AA4"/>
    <w:rsid w:val="00B171A5"/>
    <w:rsid w:val="00B30407"/>
    <w:rsid w:val="00B370E9"/>
    <w:rsid w:val="00B447DB"/>
    <w:rsid w:val="00B50143"/>
    <w:rsid w:val="00B70E5E"/>
    <w:rsid w:val="00B74216"/>
    <w:rsid w:val="00B82634"/>
    <w:rsid w:val="00B94E5A"/>
    <w:rsid w:val="00B95972"/>
    <w:rsid w:val="00BA081B"/>
    <w:rsid w:val="00BB3F88"/>
    <w:rsid w:val="00BC05EF"/>
    <w:rsid w:val="00BC4009"/>
    <w:rsid w:val="00BD0537"/>
    <w:rsid w:val="00BD1C87"/>
    <w:rsid w:val="00BD7388"/>
    <w:rsid w:val="00BF5230"/>
    <w:rsid w:val="00BF691D"/>
    <w:rsid w:val="00BF6E28"/>
    <w:rsid w:val="00C01181"/>
    <w:rsid w:val="00C1407C"/>
    <w:rsid w:val="00C344DF"/>
    <w:rsid w:val="00C40730"/>
    <w:rsid w:val="00C616DD"/>
    <w:rsid w:val="00C61F95"/>
    <w:rsid w:val="00C63DBE"/>
    <w:rsid w:val="00C648E6"/>
    <w:rsid w:val="00C67CB2"/>
    <w:rsid w:val="00C717D2"/>
    <w:rsid w:val="00C831DD"/>
    <w:rsid w:val="00C915CF"/>
    <w:rsid w:val="00C9205B"/>
    <w:rsid w:val="00CA16BA"/>
    <w:rsid w:val="00CA7FFD"/>
    <w:rsid w:val="00CC76DD"/>
    <w:rsid w:val="00CD2969"/>
    <w:rsid w:val="00CD376C"/>
    <w:rsid w:val="00CD3D4A"/>
    <w:rsid w:val="00CE7B71"/>
    <w:rsid w:val="00CF5DE8"/>
    <w:rsid w:val="00D03E6E"/>
    <w:rsid w:val="00D16813"/>
    <w:rsid w:val="00D21053"/>
    <w:rsid w:val="00D33399"/>
    <w:rsid w:val="00D50613"/>
    <w:rsid w:val="00D73176"/>
    <w:rsid w:val="00D744FD"/>
    <w:rsid w:val="00DC24A2"/>
    <w:rsid w:val="00DC6A24"/>
    <w:rsid w:val="00DD3CD7"/>
    <w:rsid w:val="00DD4934"/>
    <w:rsid w:val="00DD5AB9"/>
    <w:rsid w:val="00DD7754"/>
    <w:rsid w:val="00DE5F4B"/>
    <w:rsid w:val="00DF2DFA"/>
    <w:rsid w:val="00DF3B7A"/>
    <w:rsid w:val="00E001DA"/>
    <w:rsid w:val="00E14533"/>
    <w:rsid w:val="00E15CDD"/>
    <w:rsid w:val="00E217D5"/>
    <w:rsid w:val="00E2649E"/>
    <w:rsid w:val="00E376F9"/>
    <w:rsid w:val="00E47232"/>
    <w:rsid w:val="00E50C3E"/>
    <w:rsid w:val="00E617CA"/>
    <w:rsid w:val="00E61ADE"/>
    <w:rsid w:val="00E6323B"/>
    <w:rsid w:val="00E659DE"/>
    <w:rsid w:val="00E67CDB"/>
    <w:rsid w:val="00E71F01"/>
    <w:rsid w:val="00E75BE0"/>
    <w:rsid w:val="00E84492"/>
    <w:rsid w:val="00E916A0"/>
    <w:rsid w:val="00EA37CC"/>
    <w:rsid w:val="00EB3182"/>
    <w:rsid w:val="00EB43EC"/>
    <w:rsid w:val="00EC3506"/>
    <w:rsid w:val="00EC674A"/>
    <w:rsid w:val="00ED014A"/>
    <w:rsid w:val="00ED6C0F"/>
    <w:rsid w:val="00F11FFB"/>
    <w:rsid w:val="00F14926"/>
    <w:rsid w:val="00F202FD"/>
    <w:rsid w:val="00F226EC"/>
    <w:rsid w:val="00F3463D"/>
    <w:rsid w:val="00F35A5E"/>
    <w:rsid w:val="00F37FA1"/>
    <w:rsid w:val="00F41866"/>
    <w:rsid w:val="00F432D2"/>
    <w:rsid w:val="00F444AA"/>
    <w:rsid w:val="00F5359C"/>
    <w:rsid w:val="00F56847"/>
    <w:rsid w:val="00F579FD"/>
    <w:rsid w:val="00F72A05"/>
    <w:rsid w:val="00F80CE6"/>
    <w:rsid w:val="00F9540A"/>
    <w:rsid w:val="00FA70EC"/>
    <w:rsid w:val="00FF15F9"/>
    <w:rsid w:val="00FF29E4"/>
    <w:rsid w:val="00FF4370"/>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7D4BC"/>
  <w15:chartTrackingRefBased/>
  <w15:docId w15:val="{E3654373-2853-E642-9685-0D008BDA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D2"/>
    <w:rPr>
      <w:rFonts w:ascii="Arial" w:eastAsia="Times New Roman" w:hAnsi="Arial" w:cs="Times New Roman"/>
      <w:lang w:val="en-US"/>
    </w:rPr>
  </w:style>
  <w:style w:type="paragraph" w:styleId="Heading1">
    <w:name w:val="heading 1"/>
    <w:basedOn w:val="Normal"/>
    <w:next w:val="Normal"/>
    <w:link w:val="Heading1Char"/>
    <w:uiPriority w:val="9"/>
    <w:qFormat/>
    <w:rsid w:val="00165F72"/>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7035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0C40D7"/>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F72"/>
    <w:rPr>
      <w:rFonts w:ascii="Arial" w:eastAsiaTheme="majorEastAsia" w:hAnsi="Arial" w:cstheme="majorBidi"/>
      <w:b/>
      <w:bCs/>
      <w:color w:val="000000" w:themeColor="text1"/>
      <w:sz w:val="28"/>
      <w:szCs w:val="28"/>
      <w:lang w:val="en-US"/>
    </w:rPr>
  </w:style>
  <w:style w:type="paragraph" w:customStyle="1" w:styleId="yiv784145645msonormal">
    <w:name w:val="yiv784145645msonormal"/>
    <w:basedOn w:val="Normal"/>
    <w:rsid w:val="00165F72"/>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165F72"/>
    <w:rPr>
      <w:color w:val="0563C1" w:themeColor="hyperlink"/>
      <w:u w:val="single"/>
    </w:rPr>
  </w:style>
  <w:style w:type="paragraph" w:styleId="Footer">
    <w:name w:val="footer"/>
    <w:basedOn w:val="Normal"/>
    <w:link w:val="FooterChar"/>
    <w:uiPriority w:val="99"/>
    <w:unhideWhenUsed/>
    <w:rsid w:val="00165F72"/>
    <w:pPr>
      <w:tabs>
        <w:tab w:val="center" w:pos="4680"/>
        <w:tab w:val="right" w:pos="9360"/>
      </w:tabs>
    </w:pPr>
  </w:style>
  <w:style w:type="character" w:customStyle="1" w:styleId="FooterChar">
    <w:name w:val="Footer Char"/>
    <w:basedOn w:val="DefaultParagraphFont"/>
    <w:link w:val="Footer"/>
    <w:uiPriority w:val="99"/>
    <w:rsid w:val="00165F72"/>
    <w:rPr>
      <w:rFonts w:ascii="Arial" w:eastAsia="Times New Roman" w:hAnsi="Arial" w:cs="Times New Roman"/>
      <w:lang w:val="en-US"/>
    </w:rPr>
  </w:style>
  <w:style w:type="character" w:styleId="PageNumber">
    <w:name w:val="page number"/>
    <w:basedOn w:val="DefaultParagraphFont"/>
    <w:uiPriority w:val="99"/>
    <w:semiHidden/>
    <w:unhideWhenUsed/>
    <w:rsid w:val="00165F72"/>
  </w:style>
  <w:style w:type="character" w:styleId="UnresolvedMention">
    <w:name w:val="Unresolved Mention"/>
    <w:basedOn w:val="DefaultParagraphFont"/>
    <w:uiPriority w:val="99"/>
    <w:semiHidden/>
    <w:unhideWhenUsed/>
    <w:rsid w:val="008B717C"/>
    <w:rPr>
      <w:color w:val="605E5C"/>
      <w:shd w:val="clear" w:color="auto" w:fill="E1DFDD"/>
    </w:rPr>
  </w:style>
  <w:style w:type="character" w:customStyle="1" w:styleId="Heading4Char">
    <w:name w:val="Heading 4 Char"/>
    <w:basedOn w:val="DefaultParagraphFont"/>
    <w:link w:val="Heading4"/>
    <w:uiPriority w:val="9"/>
    <w:rsid w:val="000C40D7"/>
    <w:rPr>
      <w:rFonts w:asciiTheme="majorHAnsi" w:eastAsiaTheme="majorEastAsia" w:hAnsiTheme="majorHAnsi" w:cstheme="majorBidi"/>
      <w:i/>
      <w:iCs/>
      <w:color w:val="2F5496" w:themeColor="accent1" w:themeShade="BF"/>
      <w:sz w:val="22"/>
      <w:szCs w:val="22"/>
      <w:lang w:val="en-US"/>
    </w:rPr>
  </w:style>
  <w:style w:type="paragraph" w:styleId="ListParagraph">
    <w:name w:val="List Paragraph"/>
    <w:basedOn w:val="Normal"/>
    <w:uiPriority w:val="34"/>
    <w:qFormat/>
    <w:rsid w:val="002976F0"/>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2976F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976F0"/>
    <w:rPr>
      <w:sz w:val="20"/>
      <w:szCs w:val="20"/>
      <w:lang w:val="en-US"/>
    </w:rPr>
  </w:style>
  <w:style w:type="character" w:styleId="FootnoteReference">
    <w:name w:val="footnote reference"/>
    <w:basedOn w:val="DefaultParagraphFont"/>
    <w:uiPriority w:val="99"/>
    <w:semiHidden/>
    <w:unhideWhenUsed/>
    <w:rsid w:val="002976F0"/>
    <w:rPr>
      <w:vertAlign w:val="superscript"/>
    </w:rPr>
  </w:style>
  <w:style w:type="paragraph" w:customStyle="1" w:styleId="Default">
    <w:name w:val="Default"/>
    <w:rsid w:val="002976F0"/>
    <w:pPr>
      <w:autoSpaceDE w:val="0"/>
      <w:autoSpaceDN w:val="0"/>
      <w:adjustRightInd w:val="0"/>
    </w:pPr>
    <w:rPr>
      <w:rFonts w:ascii="Times New Roman" w:hAnsi="Times New Roman" w:cs="Times New Roman"/>
      <w:color w:val="000000"/>
      <w:lang w:val="en-US"/>
    </w:rPr>
  </w:style>
  <w:style w:type="paragraph" w:styleId="Header">
    <w:name w:val="header"/>
    <w:basedOn w:val="Normal"/>
    <w:link w:val="HeaderChar"/>
    <w:uiPriority w:val="99"/>
    <w:unhideWhenUsed/>
    <w:rsid w:val="002976F0"/>
    <w:pPr>
      <w:tabs>
        <w:tab w:val="center" w:pos="4680"/>
        <w:tab w:val="right" w:pos="9360"/>
      </w:tabs>
    </w:pPr>
  </w:style>
  <w:style w:type="character" w:customStyle="1" w:styleId="HeaderChar">
    <w:name w:val="Header Char"/>
    <w:basedOn w:val="DefaultParagraphFont"/>
    <w:link w:val="Header"/>
    <w:uiPriority w:val="99"/>
    <w:rsid w:val="002976F0"/>
    <w:rPr>
      <w:rFonts w:ascii="Arial" w:eastAsia="Times New Roman" w:hAnsi="Arial" w:cs="Times New Roman"/>
      <w:lang w:val="en-US"/>
    </w:rPr>
  </w:style>
  <w:style w:type="character" w:customStyle="1" w:styleId="Heading2Char">
    <w:name w:val="Heading 2 Char"/>
    <w:basedOn w:val="DefaultParagraphFont"/>
    <w:link w:val="Heading2"/>
    <w:uiPriority w:val="9"/>
    <w:semiHidden/>
    <w:rsid w:val="00703564"/>
    <w:rPr>
      <w:rFonts w:asciiTheme="majorHAnsi" w:eastAsiaTheme="majorEastAsia" w:hAnsiTheme="majorHAnsi" w:cstheme="majorBidi"/>
      <w:color w:val="2F5496" w:themeColor="accent1" w:themeShade="BF"/>
      <w:sz w:val="26"/>
      <w:szCs w:val="26"/>
      <w:lang w:val="en-US"/>
    </w:rPr>
  </w:style>
  <w:style w:type="character" w:customStyle="1" w:styleId="sssh">
    <w:name w:val="ss_sh"/>
    <w:basedOn w:val="DefaultParagraphFont"/>
    <w:rsid w:val="0018655A"/>
  </w:style>
  <w:style w:type="character" w:customStyle="1" w:styleId="ssit">
    <w:name w:val="ss_it"/>
    <w:basedOn w:val="DefaultParagraphFont"/>
    <w:rsid w:val="0094149F"/>
  </w:style>
  <w:style w:type="character" w:customStyle="1" w:styleId="ssrfcsection">
    <w:name w:val="ss_rfcsection"/>
    <w:basedOn w:val="DefaultParagraphFont"/>
    <w:rsid w:val="0063504C"/>
  </w:style>
  <w:style w:type="character" w:styleId="Strong">
    <w:name w:val="Strong"/>
    <w:basedOn w:val="DefaultParagraphFont"/>
    <w:uiPriority w:val="22"/>
    <w:qFormat/>
    <w:rsid w:val="004A0257"/>
    <w:rPr>
      <w:b/>
      <w:bCs/>
    </w:rPr>
  </w:style>
  <w:style w:type="character" w:customStyle="1" w:styleId="ssrfcpassagedeactivated">
    <w:name w:val="ss_rfcpassage_deactivated"/>
    <w:basedOn w:val="DefaultParagraphFont"/>
    <w:rsid w:val="00353AE4"/>
  </w:style>
  <w:style w:type="paragraph" w:styleId="NormalWeb">
    <w:name w:val="Normal (Web)"/>
    <w:basedOn w:val="Normal"/>
    <w:uiPriority w:val="99"/>
    <w:semiHidden/>
    <w:unhideWhenUsed/>
    <w:rsid w:val="000E6322"/>
    <w:pPr>
      <w:spacing w:before="100" w:beforeAutospacing="1" w:after="100" w:afterAutospacing="1"/>
    </w:pPr>
    <w:rPr>
      <w:rFonts w:ascii="Times New Roman" w:hAnsi="Times New Roman"/>
    </w:rPr>
  </w:style>
  <w:style w:type="character" w:customStyle="1" w:styleId="sh1768352402">
    <w:name w:val="sh_1768352402"/>
    <w:basedOn w:val="DefaultParagraphFont"/>
    <w:rsid w:val="005F69BB"/>
  </w:style>
  <w:style w:type="character" w:customStyle="1" w:styleId="ssun">
    <w:name w:val="ss_un"/>
    <w:basedOn w:val="DefaultParagraphFont"/>
    <w:rsid w:val="005F69BB"/>
  </w:style>
  <w:style w:type="character" w:customStyle="1" w:styleId="sh3500254742">
    <w:name w:val="sh_3500254742"/>
    <w:basedOn w:val="DefaultParagraphFont"/>
    <w:rsid w:val="005F69BB"/>
  </w:style>
  <w:style w:type="paragraph" w:styleId="BodyText">
    <w:name w:val="Body Text"/>
    <w:basedOn w:val="Normal"/>
    <w:link w:val="BodyTextChar"/>
    <w:uiPriority w:val="1"/>
    <w:qFormat/>
    <w:rsid w:val="004465A5"/>
    <w:pPr>
      <w:widowControl w:val="0"/>
      <w:autoSpaceDE w:val="0"/>
      <w:autoSpaceDN w:val="0"/>
    </w:pPr>
    <w:rPr>
      <w:rFonts w:eastAsia="Arial" w:cs="Arial"/>
    </w:rPr>
  </w:style>
  <w:style w:type="character" w:customStyle="1" w:styleId="BodyTextChar">
    <w:name w:val="Body Text Char"/>
    <w:basedOn w:val="DefaultParagraphFont"/>
    <w:link w:val="BodyText"/>
    <w:uiPriority w:val="1"/>
    <w:rsid w:val="004465A5"/>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6376">
      <w:bodyDiv w:val="1"/>
      <w:marLeft w:val="0"/>
      <w:marRight w:val="0"/>
      <w:marTop w:val="0"/>
      <w:marBottom w:val="0"/>
      <w:divBdr>
        <w:top w:val="none" w:sz="0" w:space="0" w:color="auto"/>
        <w:left w:val="none" w:sz="0" w:space="0" w:color="auto"/>
        <w:bottom w:val="none" w:sz="0" w:space="0" w:color="auto"/>
        <w:right w:val="none" w:sz="0" w:space="0" w:color="auto"/>
      </w:divBdr>
      <w:divsChild>
        <w:div w:id="939529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5632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896F1-1782-4137-AEF5-060F8DF0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6489</Words>
  <Characters>36990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Holt</dc:creator>
  <cp:keywords/>
  <dc:description/>
  <cp:lastModifiedBy>Carl Hartmann</cp:lastModifiedBy>
  <cp:revision>2</cp:revision>
  <dcterms:created xsi:type="dcterms:W3CDTF">2022-12-26T17:20:00Z</dcterms:created>
  <dcterms:modified xsi:type="dcterms:W3CDTF">2022-12-26T17:20:00Z</dcterms:modified>
</cp:coreProperties>
</file>